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7A8" w:rsidRDefault="008857A8" w:rsidP="008857A8">
      <w:pPr>
        <w:shd w:val="clear" w:color="auto" w:fill="FFFFFF"/>
        <w:spacing w:before="120" w:after="120" w:line="419" w:lineRule="atLeast"/>
        <w:rPr>
          <w:rFonts w:ascii="Arial" w:eastAsia="Times New Roman" w:hAnsi="Arial" w:cs="Arial"/>
          <w:color w:val="252525"/>
          <w:sz w:val="26"/>
          <w:szCs w:val="26"/>
          <w:lang w:eastAsia="es-MX"/>
        </w:rPr>
      </w:pPr>
      <w:bookmarkStart w:id="0" w:name="_GoBack"/>
      <w:bookmarkEnd w:id="0"/>
    </w:p>
    <w:p w:rsidR="008857A8" w:rsidRDefault="008857A8" w:rsidP="008857A8">
      <w:pPr>
        <w:shd w:val="clear" w:color="auto" w:fill="FFFFFF"/>
        <w:spacing w:before="120" w:after="120" w:line="419" w:lineRule="atLeast"/>
        <w:rPr>
          <w:rFonts w:ascii="Arial" w:eastAsia="Times New Roman" w:hAnsi="Arial" w:cs="Arial"/>
          <w:color w:val="252525"/>
          <w:sz w:val="26"/>
          <w:szCs w:val="26"/>
          <w:lang w:eastAsia="es-MX"/>
        </w:rPr>
      </w:pPr>
    </w:p>
    <w:p w:rsidR="008857A8" w:rsidRDefault="008857A8" w:rsidP="008857A8">
      <w:pPr>
        <w:shd w:val="clear" w:color="auto" w:fill="FFFFFF"/>
        <w:spacing w:before="120" w:after="120" w:line="419" w:lineRule="atLeast"/>
        <w:jc w:val="both"/>
        <w:rPr>
          <w:rFonts w:ascii="Arial" w:eastAsia="Times New Roman" w:hAnsi="Arial" w:cs="Arial"/>
          <w:color w:val="252525"/>
          <w:sz w:val="26"/>
          <w:szCs w:val="26"/>
          <w:lang w:eastAsia="es-MX"/>
        </w:rPr>
      </w:pPr>
      <w:r>
        <w:rPr>
          <w:rFonts w:ascii="Arial" w:eastAsia="Times New Roman" w:hAnsi="Arial" w:cs="Arial"/>
          <w:color w:val="252525"/>
          <w:sz w:val="26"/>
          <w:szCs w:val="26"/>
          <w:lang w:eastAsia="es-MX"/>
        </w:rPr>
        <w:t>CONCEPTO</w:t>
      </w:r>
    </w:p>
    <w:p w:rsidR="008857A8" w:rsidRPr="008857A8" w:rsidRDefault="008857A8" w:rsidP="008857A8">
      <w:pPr>
        <w:shd w:val="clear" w:color="auto" w:fill="FFFFFF"/>
        <w:spacing w:before="120" w:after="120" w:line="419" w:lineRule="atLeast"/>
        <w:jc w:val="both"/>
        <w:rPr>
          <w:rFonts w:ascii="Arial" w:eastAsia="Times New Roman" w:hAnsi="Arial" w:cs="Arial"/>
          <w:color w:val="252525"/>
          <w:sz w:val="26"/>
          <w:szCs w:val="26"/>
          <w:lang w:eastAsia="es-MX"/>
        </w:rPr>
      </w:pPr>
      <w:r w:rsidRPr="008857A8">
        <w:rPr>
          <w:rFonts w:ascii="Arial" w:eastAsia="Times New Roman" w:hAnsi="Arial" w:cs="Arial"/>
          <w:color w:val="252525"/>
          <w:sz w:val="26"/>
          <w:szCs w:val="26"/>
          <w:lang w:eastAsia="es-MX"/>
        </w:rPr>
        <w:t>Una sociedad comercial (o mercantil) es una</w:t>
      </w:r>
      <w:r w:rsidRPr="008857A8">
        <w:rPr>
          <w:rFonts w:ascii="Arial" w:eastAsia="Times New Roman" w:hAnsi="Arial" w:cs="Arial"/>
          <w:color w:val="252525"/>
          <w:sz w:val="26"/>
          <w:lang w:eastAsia="es-MX"/>
        </w:rPr>
        <w:t> </w:t>
      </w:r>
      <w:hyperlink r:id="rId6" w:tooltip="Persona jurídica" w:history="1">
        <w:r w:rsidRPr="008857A8">
          <w:rPr>
            <w:rFonts w:ascii="Arial" w:eastAsia="Times New Roman" w:hAnsi="Arial" w:cs="Arial"/>
            <w:color w:val="0B0080"/>
            <w:sz w:val="26"/>
            <w:lang w:eastAsia="es-MX"/>
          </w:rPr>
          <w:t>persona jurídica</w:t>
        </w:r>
      </w:hyperlink>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que tiene por objeto la realización de</w:t>
      </w:r>
      <w:r w:rsidRPr="008857A8">
        <w:rPr>
          <w:rFonts w:ascii="Arial" w:eastAsia="Times New Roman" w:hAnsi="Arial" w:cs="Arial"/>
          <w:color w:val="252525"/>
          <w:sz w:val="26"/>
          <w:lang w:eastAsia="es-MX"/>
        </w:rPr>
        <w:t> </w:t>
      </w:r>
      <w:hyperlink r:id="rId7" w:tooltip="Actos de comercio" w:history="1">
        <w:r w:rsidRPr="008857A8">
          <w:rPr>
            <w:rFonts w:ascii="Arial" w:eastAsia="Times New Roman" w:hAnsi="Arial" w:cs="Arial"/>
            <w:color w:val="0B0080"/>
            <w:sz w:val="26"/>
            <w:lang w:eastAsia="es-MX"/>
          </w:rPr>
          <w:t>actos de comercio</w:t>
        </w:r>
      </w:hyperlink>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o la realización de una actividad sujeta al</w:t>
      </w:r>
      <w:r w:rsidRPr="008857A8">
        <w:rPr>
          <w:rFonts w:ascii="Arial" w:eastAsia="Times New Roman" w:hAnsi="Arial" w:cs="Arial"/>
          <w:color w:val="252525"/>
          <w:sz w:val="26"/>
          <w:lang w:eastAsia="es-MX"/>
        </w:rPr>
        <w:t> </w:t>
      </w:r>
      <w:hyperlink r:id="rId8" w:tooltip="Derecho comercial" w:history="1">
        <w:r w:rsidRPr="008857A8">
          <w:rPr>
            <w:rFonts w:ascii="Arial" w:eastAsia="Times New Roman" w:hAnsi="Arial" w:cs="Arial"/>
            <w:color w:val="0B0080"/>
            <w:sz w:val="26"/>
            <w:lang w:eastAsia="es-MX"/>
          </w:rPr>
          <w:t>Derecho comercial</w:t>
        </w:r>
      </w:hyperlink>
      <w:r w:rsidRPr="008857A8">
        <w:rPr>
          <w:rFonts w:ascii="Arial" w:eastAsia="Times New Roman" w:hAnsi="Arial" w:cs="Arial"/>
          <w:color w:val="252525"/>
          <w:sz w:val="26"/>
          <w:szCs w:val="26"/>
          <w:lang w:eastAsia="es-MX"/>
        </w:rPr>
        <w:t>. Una sociedad comercial surge cuando dos o más personas (</w:t>
      </w:r>
      <w:hyperlink r:id="rId9" w:tooltip="Persona fisica" w:history="1">
        <w:r w:rsidRPr="008857A8">
          <w:rPr>
            <w:rFonts w:ascii="Arial" w:eastAsia="Times New Roman" w:hAnsi="Arial" w:cs="Arial"/>
            <w:color w:val="0B0080"/>
            <w:sz w:val="26"/>
            <w:lang w:eastAsia="es-MX"/>
          </w:rPr>
          <w:t>físicas</w:t>
        </w:r>
      </w:hyperlink>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o jurídicas) mediante un</w:t>
      </w:r>
      <w:r w:rsidRPr="008857A8">
        <w:rPr>
          <w:rFonts w:ascii="Arial" w:eastAsia="Times New Roman" w:hAnsi="Arial" w:cs="Arial"/>
          <w:color w:val="252525"/>
          <w:sz w:val="26"/>
          <w:lang w:eastAsia="es-MX"/>
        </w:rPr>
        <w:t> </w:t>
      </w:r>
      <w:hyperlink r:id="rId10" w:tooltip="Contrato de sociedad" w:history="1">
        <w:r w:rsidRPr="008857A8">
          <w:rPr>
            <w:rFonts w:ascii="Arial" w:eastAsia="Times New Roman" w:hAnsi="Arial" w:cs="Arial"/>
            <w:color w:val="0B0080"/>
            <w:sz w:val="26"/>
            <w:lang w:eastAsia="es-MX"/>
          </w:rPr>
          <w:t>contrato</w:t>
        </w:r>
      </w:hyperlink>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se obligan a realizar aportes para constituir el capital social, que luego serán los bienes con los que se realizará una actividad comercial organizada, en la que sus socios aceptan participar en las ganancias y en las pérdidas que derivan de dicha actividad.</w:t>
      </w:r>
    </w:p>
    <w:p w:rsidR="008857A8" w:rsidRDefault="008857A8" w:rsidP="008857A8">
      <w:pPr>
        <w:shd w:val="clear" w:color="auto" w:fill="FFFFFF"/>
        <w:spacing w:before="120" w:after="120" w:line="419" w:lineRule="atLeast"/>
        <w:jc w:val="both"/>
        <w:rPr>
          <w:rFonts w:ascii="Arial" w:eastAsia="Times New Roman" w:hAnsi="Arial" w:cs="Arial"/>
          <w:color w:val="252525"/>
          <w:sz w:val="26"/>
          <w:szCs w:val="26"/>
          <w:lang w:eastAsia="es-MX"/>
        </w:rPr>
      </w:pPr>
      <w:r w:rsidRPr="008857A8">
        <w:rPr>
          <w:rFonts w:ascii="Arial" w:eastAsia="Times New Roman" w:hAnsi="Arial" w:cs="Arial"/>
          <w:color w:val="252525"/>
          <w:sz w:val="26"/>
          <w:szCs w:val="26"/>
          <w:lang w:eastAsia="es-MX"/>
        </w:rPr>
        <w:t>Como corolario de la</w:t>
      </w:r>
      <w:r w:rsidRPr="008857A8">
        <w:rPr>
          <w:rFonts w:ascii="Arial" w:eastAsia="Times New Roman" w:hAnsi="Arial" w:cs="Arial"/>
          <w:color w:val="252525"/>
          <w:sz w:val="26"/>
          <w:lang w:eastAsia="es-MX"/>
        </w:rPr>
        <w:t> </w:t>
      </w:r>
      <w:hyperlink r:id="rId11" w:tooltip="Personería jurídica" w:history="1">
        <w:r w:rsidRPr="008857A8">
          <w:rPr>
            <w:rFonts w:ascii="Arial" w:eastAsia="Times New Roman" w:hAnsi="Arial" w:cs="Arial"/>
            <w:color w:val="0B0080"/>
            <w:sz w:val="26"/>
            <w:lang w:eastAsia="es-MX"/>
          </w:rPr>
          <w:t>personería jurídica</w:t>
        </w:r>
      </w:hyperlink>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de la sociedad comercial, surge un nuevo sujeto de derecho, que actúa por cuenta propia y que poseerá un nombre (o denominación) que la distingue de otras sociedades, un domicilio, una capacidad y un patrimonio propio.</w:t>
      </w:r>
    </w:p>
    <w:p w:rsidR="008857A8" w:rsidRDefault="008857A8" w:rsidP="008857A8">
      <w:pPr>
        <w:shd w:val="clear" w:color="auto" w:fill="FFFFFF"/>
        <w:spacing w:before="120" w:after="120" w:line="419" w:lineRule="atLeast"/>
        <w:jc w:val="both"/>
        <w:rPr>
          <w:rFonts w:ascii="Arial" w:eastAsia="Times New Roman" w:hAnsi="Arial" w:cs="Arial"/>
          <w:color w:val="252525"/>
          <w:sz w:val="26"/>
          <w:szCs w:val="26"/>
          <w:lang w:eastAsia="es-MX"/>
        </w:rPr>
      </w:pPr>
    </w:p>
    <w:p w:rsidR="008857A8" w:rsidRPr="008857A8" w:rsidRDefault="008857A8" w:rsidP="008857A8">
      <w:pPr>
        <w:shd w:val="clear" w:color="auto" w:fill="FFFFFF"/>
        <w:spacing w:before="120" w:after="120" w:line="419" w:lineRule="atLeast"/>
        <w:jc w:val="both"/>
        <w:rPr>
          <w:rFonts w:ascii="Arial" w:eastAsia="Times New Roman" w:hAnsi="Arial" w:cs="Arial"/>
          <w:color w:val="252525"/>
          <w:sz w:val="26"/>
          <w:szCs w:val="26"/>
          <w:lang w:eastAsia="es-MX"/>
        </w:rPr>
      </w:pPr>
      <w:r>
        <w:rPr>
          <w:rFonts w:ascii="Arial" w:eastAsia="Times New Roman" w:hAnsi="Arial" w:cs="Arial"/>
          <w:color w:val="252525"/>
          <w:sz w:val="26"/>
          <w:szCs w:val="26"/>
          <w:lang w:eastAsia="es-MX"/>
        </w:rPr>
        <w:tab/>
        <w:t>DIFERENCIAS CON OTROS SUJETOS</w:t>
      </w:r>
    </w:p>
    <w:p w:rsidR="008857A8" w:rsidRPr="008857A8" w:rsidRDefault="0070062E" w:rsidP="008857A8">
      <w:pPr>
        <w:numPr>
          <w:ilvl w:val="0"/>
          <w:numId w:val="1"/>
        </w:numPr>
        <w:shd w:val="clear" w:color="auto" w:fill="FFFFFF"/>
        <w:spacing w:before="100" w:beforeAutospacing="1" w:after="24" w:line="360" w:lineRule="atLeast"/>
        <w:ind w:left="384"/>
        <w:rPr>
          <w:rFonts w:ascii="Arial" w:eastAsia="Times New Roman" w:hAnsi="Arial" w:cs="Arial"/>
          <w:color w:val="252525"/>
          <w:sz w:val="21"/>
          <w:szCs w:val="21"/>
          <w:lang w:eastAsia="es-MX"/>
        </w:rPr>
      </w:pPr>
      <w:hyperlink r:id="rId12" w:tooltip="Sociedad civil (Derecho)" w:history="1">
        <w:r w:rsidR="008857A8" w:rsidRPr="008857A8">
          <w:rPr>
            <w:rFonts w:ascii="Arial" w:eastAsia="Times New Roman" w:hAnsi="Arial" w:cs="Arial"/>
            <w:b/>
            <w:bCs/>
            <w:color w:val="0B0080"/>
            <w:sz w:val="21"/>
            <w:lang w:eastAsia="es-MX"/>
          </w:rPr>
          <w:t>Sociedad civil</w:t>
        </w:r>
      </w:hyperlink>
      <w:r w:rsidR="008857A8" w:rsidRPr="008857A8">
        <w:rPr>
          <w:rFonts w:ascii="Arial" w:eastAsia="Times New Roman" w:hAnsi="Arial" w:cs="Arial"/>
          <w:color w:val="252525"/>
          <w:sz w:val="21"/>
          <w:szCs w:val="21"/>
          <w:lang w:eastAsia="es-MX"/>
        </w:rPr>
        <w:t>: una sociedad civil es un contrato por el cual dos o más personas se obligan a poner en común dinero, bienes o industria, con ánimo de repartir entre sí las ganancias. Este tipo de sociedad se opone a la sociedad mercantil, aunque es difícil establecer una distinción clara entre ambas. En general se distingue la sociedad civil por ser aquella que se constituye sin un objeto mercantil o, al menos, no puramente mercantil. Por otro lado, una sociedad mercantil es la que ejerce actos de comercio. En algunos ordenamientos jurídicos, también se determina la comercialidad formal, esto es, que en el caso de una sociedad civil con objeto civil adopte una forma comercial, será tomada como comercial.</w:t>
      </w:r>
      <w:hyperlink r:id="rId13" w:anchor="cite_note-dc.edu.uy-1" w:history="1">
        <w:r w:rsidR="008857A8" w:rsidRPr="008857A8">
          <w:rPr>
            <w:rFonts w:ascii="Arial" w:eastAsia="Times New Roman" w:hAnsi="Arial" w:cs="Arial"/>
            <w:color w:val="0B0080"/>
            <w:sz w:val="21"/>
            <w:vertAlign w:val="superscript"/>
            <w:lang w:eastAsia="es-MX"/>
          </w:rPr>
          <w:t>1</w:t>
        </w:r>
      </w:hyperlink>
    </w:p>
    <w:p w:rsidR="008857A8" w:rsidRDefault="0070062E" w:rsidP="008857A8">
      <w:pPr>
        <w:numPr>
          <w:ilvl w:val="0"/>
          <w:numId w:val="1"/>
        </w:numPr>
        <w:shd w:val="clear" w:color="auto" w:fill="FFFFFF"/>
        <w:spacing w:before="100" w:beforeAutospacing="1" w:after="24" w:line="360" w:lineRule="atLeast"/>
        <w:ind w:left="384"/>
        <w:rPr>
          <w:rFonts w:ascii="Arial" w:eastAsia="Times New Roman" w:hAnsi="Arial" w:cs="Arial"/>
          <w:color w:val="252525"/>
          <w:sz w:val="21"/>
          <w:szCs w:val="21"/>
          <w:lang w:eastAsia="es-MX"/>
        </w:rPr>
      </w:pPr>
      <w:hyperlink r:id="rId14" w:tooltip="Empresa" w:history="1">
        <w:r w:rsidR="008857A8" w:rsidRPr="008857A8">
          <w:rPr>
            <w:rFonts w:ascii="Arial" w:eastAsia="Times New Roman" w:hAnsi="Arial" w:cs="Arial"/>
            <w:b/>
            <w:bCs/>
            <w:color w:val="0B0080"/>
            <w:sz w:val="21"/>
            <w:lang w:eastAsia="es-MX"/>
          </w:rPr>
          <w:t>Empresa</w:t>
        </w:r>
      </w:hyperlink>
      <w:r w:rsidR="008857A8" w:rsidRPr="008857A8">
        <w:rPr>
          <w:rFonts w:ascii="Arial" w:eastAsia="Times New Roman" w:hAnsi="Arial" w:cs="Arial"/>
          <w:color w:val="252525"/>
          <w:sz w:val="21"/>
          <w:szCs w:val="21"/>
          <w:lang w:eastAsia="es-MX"/>
        </w:rPr>
        <w:t>: una empresa es una organización que se dedica a realizar actividades con fines de lucro, en la que se combinan los factores productivos —estos son el capital y el trabajo— a tal fin; sin embargo, en general no son sujetos de derecho.</w:t>
      </w:r>
    </w:p>
    <w:p w:rsidR="008857A8" w:rsidRPr="008857A8" w:rsidRDefault="008857A8" w:rsidP="008857A8">
      <w:pPr>
        <w:shd w:val="clear" w:color="auto" w:fill="FFFFFF"/>
        <w:spacing w:before="100" w:beforeAutospacing="1" w:after="24" w:line="360" w:lineRule="atLeast"/>
        <w:rPr>
          <w:rFonts w:ascii="Arial" w:eastAsia="Times New Roman" w:hAnsi="Arial" w:cs="Arial"/>
          <w:color w:val="252525"/>
          <w:sz w:val="21"/>
          <w:szCs w:val="21"/>
          <w:lang w:eastAsia="es-MX"/>
        </w:rPr>
      </w:pPr>
      <w:r>
        <w:rPr>
          <w:rFonts w:ascii="Arial" w:eastAsia="Times New Roman" w:hAnsi="Arial" w:cs="Arial"/>
          <w:color w:val="252525"/>
          <w:sz w:val="21"/>
          <w:szCs w:val="21"/>
          <w:lang w:eastAsia="es-MX"/>
        </w:rPr>
        <w:t xml:space="preserve">CLASIFICACION </w:t>
      </w:r>
    </w:p>
    <w:p w:rsidR="008857A8" w:rsidRPr="008857A8" w:rsidRDefault="008857A8" w:rsidP="008857A8">
      <w:pPr>
        <w:shd w:val="clear" w:color="auto" w:fill="FFFFFF"/>
        <w:spacing w:before="120" w:after="120" w:line="419" w:lineRule="atLeast"/>
        <w:rPr>
          <w:rFonts w:ascii="Arial" w:eastAsia="Times New Roman" w:hAnsi="Arial" w:cs="Arial"/>
          <w:color w:val="252525"/>
          <w:sz w:val="26"/>
          <w:szCs w:val="26"/>
          <w:lang w:eastAsia="es-MX"/>
        </w:rPr>
      </w:pPr>
      <w:r w:rsidRPr="008857A8">
        <w:rPr>
          <w:rFonts w:ascii="Arial" w:eastAsia="Times New Roman" w:hAnsi="Arial" w:cs="Arial"/>
          <w:color w:val="252525"/>
          <w:sz w:val="26"/>
          <w:szCs w:val="26"/>
          <w:lang w:eastAsia="es-MX"/>
        </w:rPr>
        <w:t>Las Sociedades mercantiles se pueden clasificar conforme a varios criterios, entre los que destacan los siguientes aspectos:</w:t>
      </w:r>
    </w:p>
    <w:p w:rsidR="008857A8" w:rsidRPr="008857A8" w:rsidRDefault="008857A8" w:rsidP="008857A8">
      <w:pPr>
        <w:shd w:val="clear" w:color="auto" w:fill="FFFFFF"/>
        <w:spacing w:before="72" w:after="0" w:line="240" w:lineRule="auto"/>
        <w:outlineLvl w:val="2"/>
        <w:rPr>
          <w:rFonts w:ascii="Arial" w:eastAsia="Times New Roman" w:hAnsi="Arial" w:cs="Arial"/>
          <w:b/>
          <w:bCs/>
          <w:color w:val="000000"/>
          <w:sz w:val="28"/>
          <w:szCs w:val="28"/>
          <w:lang w:eastAsia="es-MX"/>
        </w:rPr>
      </w:pPr>
      <w:r w:rsidRPr="008857A8">
        <w:rPr>
          <w:rFonts w:ascii="Arial" w:eastAsia="Times New Roman" w:hAnsi="Arial" w:cs="Arial"/>
          <w:b/>
          <w:bCs/>
          <w:color w:val="000000"/>
          <w:sz w:val="28"/>
          <w:lang w:eastAsia="es-MX"/>
        </w:rPr>
        <w:t>Según su tipo de capital</w:t>
      </w:r>
    </w:p>
    <w:p w:rsidR="008857A8" w:rsidRPr="008857A8" w:rsidRDefault="008857A8" w:rsidP="008857A8">
      <w:pPr>
        <w:numPr>
          <w:ilvl w:val="0"/>
          <w:numId w:val="2"/>
        </w:numPr>
        <w:shd w:val="clear" w:color="auto" w:fill="FFFFFF"/>
        <w:spacing w:before="100" w:beforeAutospacing="1" w:after="24" w:line="360" w:lineRule="atLeast"/>
        <w:ind w:left="384"/>
        <w:rPr>
          <w:rFonts w:ascii="Arial" w:eastAsia="Times New Roman" w:hAnsi="Arial" w:cs="Arial"/>
          <w:color w:val="252525"/>
          <w:sz w:val="26"/>
          <w:szCs w:val="26"/>
          <w:lang w:eastAsia="es-MX"/>
        </w:rPr>
      </w:pPr>
      <w:r w:rsidRPr="008857A8">
        <w:rPr>
          <w:rFonts w:ascii="Arial" w:eastAsia="Times New Roman" w:hAnsi="Arial" w:cs="Arial"/>
          <w:color w:val="252525"/>
          <w:sz w:val="26"/>
          <w:szCs w:val="26"/>
          <w:lang w:eastAsia="es-MX"/>
        </w:rPr>
        <w:t>Capital Social: no puede ser modificado, sino por una modificación de los estatutos.</w:t>
      </w:r>
    </w:p>
    <w:p w:rsidR="008857A8" w:rsidRDefault="008857A8" w:rsidP="008857A8">
      <w:pPr>
        <w:numPr>
          <w:ilvl w:val="0"/>
          <w:numId w:val="2"/>
        </w:numPr>
        <w:shd w:val="clear" w:color="auto" w:fill="FFFFFF"/>
        <w:spacing w:before="100" w:beforeAutospacing="1" w:after="24" w:line="360" w:lineRule="atLeast"/>
        <w:ind w:left="384"/>
        <w:rPr>
          <w:rFonts w:ascii="Arial" w:eastAsia="Times New Roman" w:hAnsi="Arial" w:cs="Arial"/>
          <w:color w:val="252525"/>
          <w:sz w:val="26"/>
          <w:szCs w:val="26"/>
          <w:lang w:eastAsia="es-MX"/>
        </w:rPr>
      </w:pPr>
      <w:r w:rsidRPr="008857A8">
        <w:rPr>
          <w:rFonts w:ascii="Arial" w:eastAsia="Times New Roman" w:hAnsi="Arial" w:cs="Arial"/>
          <w:color w:val="252525"/>
          <w:sz w:val="26"/>
          <w:szCs w:val="26"/>
          <w:lang w:eastAsia="es-MX"/>
        </w:rPr>
        <w:t>Capital Variable (C.V.): es variable, puede disminuir y aumentar conforme el avance de la sociedad, sin procedimientos complejos.</w:t>
      </w:r>
    </w:p>
    <w:p w:rsidR="008857A8" w:rsidRDefault="008857A8" w:rsidP="008857A8">
      <w:pPr>
        <w:numPr>
          <w:ilvl w:val="0"/>
          <w:numId w:val="2"/>
        </w:numPr>
        <w:shd w:val="clear" w:color="auto" w:fill="FFFFFF"/>
        <w:spacing w:before="100" w:beforeAutospacing="1" w:after="24" w:line="360" w:lineRule="atLeast"/>
        <w:ind w:left="384"/>
        <w:rPr>
          <w:rFonts w:ascii="Arial" w:eastAsia="Times New Roman" w:hAnsi="Arial" w:cs="Arial"/>
          <w:color w:val="252525"/>
          <w:sz w:val="26"/>
          <w:szCs w:val="26"/>
          <w:lang w:eastAsia="es-MX"/>
        </w:rPr>
      </w:pPr>
      <w:r>
        <w:rPr>
          <w:rFonts w:ascii="Arial" w:eastAsia="Times New Roman" w:hAnsi="Arial" w:cs="Arial"/>
          <w:color w:val="252525"/>
          <w:sz w:val="26"/>
          <w:szCs w:val="26"/>
          <w:lang w:eastAsia="es-MX"/>
        </w:rPr>
        <w:t>De capital contable</w:t>
      </w:r>
    </w:p>
    <w:p w:rsidR="008857A8" w:rsidRPr="008857A8" w:rsidRDefault="008857A8" w:rsidP="008857A8">
      <w:pPr>
        <w:numPr>
          <w:ilvl w:val="0"/>
          <w:numId w:val="2"/>
        </w:numPr>
        <w:shd w:val="clear" w:color="auto" w:fill="FFFFFF"/>
        <w:spacing w:before="100" w:beforeAutospacing="1" w:after="24" w:line="360" w:lineRule="atLeast"/>
        <w:ind w:left="384"/>
        <w:rPr>
          <w:rFonts w:ascii="Arial" w:eastAsia="Times New Roman" w:hAnsi="Arial" w:cs="Arial"/>
          <w:color w:val="252525"/>
          <w:sz w:val="26"/>
          <w:szCs w:val="26"/>
          <w:lang w:eastAsia="es-MX"/>
        </w:rPr>
      </w:pPr>
    </w:p>
    <w:p w:rsidR="008857A8" w:rsidRPr="008857A8" w:rsidRDefault="008857A8" w:rsidP="008857A8">
      <w:pPr>
        <w:shd w:val="clear" w:color="auto" w:fill="FFFFFF"/>
        <w:spacing w:before="72" w:after="0" w:line="240" w:lineRule="auto"/>
        <w:outlineLvl w:val="2"/>
        <w:rPr>
          <w:rFonts w:ascii="Arial" w:eastAsia="Times New Roman" w:hAnsi="Arial" w:cs="Arial"/>
          <w:b/>
          <w:bCs/>
          <w:color w:val="000000"/>
          <w:sz w:val="28"/>
          <w:szCs w:val="28"/>
          <w:lang w:eastAsia="es-MX"/>
        </w:rPr>
      </w:pPr>
      <w:r w:rsidRPr="008857A8">
        <w:rPr>
          <w:rFonts w:ascii="Arial" w:eastAsia="Times New Roman" w:hAnsi="Arial" w:cs="Arial"/>
          <w:b/>
          <w:bCs/>
          <w:color w:val="000000"/>
          <w:sz w:val="28"/>
          <w:lang w:eastAsia="es-MX"/>
        </w:rPr>
        <w:t>Según su constitución</w:t>
      </w:r>
    </w:p>
    <w:p w:rsidR="008857A8" w:rsidRPr="008857A8" w:rsidRDefault="008857A8" w:rsidP="008857A8">
      <w:pPr>
        <w:shd w:val="clear" w:color="auto" w:fill="FFFFFF"/>
        <w:spacing w:before="120" w:after="120" w:line="419" w:lineRule="atLeast"/>
        <w:rPr>
          <w:rFonts w:ascii="Arial" w:eastAsia="Times New Roman" w:hAnsi="Arial" w:cs="Arial"/>
          <w:color w:val="252525"/>
          <w:sz w:val="26"/>
          <w:szCs w:val="26"/>
          <w:lang w:eastAsia="es-MX"/>
        </w:rPr>
      </w:pPr>
      <w:r w:rsidRPr="008857A8">
        <w:rPr>
          <w:rFonts w:ascii="Arial" w:eastAsia="Times New Roman" w:hAnsi="Arial" w:cs="Arial"/>
          <w:color w:val="252525"/>
          <w:sz w:val="26"/>
          <w:szCs w:val="26"/>
          <w:lang w:eastAsia="es-MX"/>
        </w:rPr>
        <w:t>Se clasifican en sociedades de capital, sociedades de personas y sociedades mixtas.</w:t>
      </w:r>
    </w:p>
    <w:p w:rsidR="008857A8" w:rsidRPr="008857A8" w:rsidRDefault="008857A8" w:rsidP="008857A8">
      <w:pPr>
        <w:numPr>
          <w:ilvl w:val="0"/>
          <w:numId w:val="3"/>
        </w:numPr>
        <w:shd w:val="clear" w:color="auto" w:fill="FFFFFF"/>
        <w:spacing w:before="100" w:beforeAutospacing="1" w:after="24" w:line="360" w:lineRule="atLeast"/>
        <w:ind w:left="384"/>
        <w:rPr>
          <w:rFonts w:ascii="Arial" w:eastAsia="Times New Roman" w:hAnsi="Arial" w:cs="Arial"/>
          <w:color w:val="252525"/>
          <w:sz w:val="26"/>
          <w:szCs w:val="26"/>
          <w:lang w:eastAsia="es-MX"/>
        </w:rPr>
      </w:pPr>
      <w:r w:rsidRPr="008857A8">
        <w:rPr>
          <w:rFonts w:ascii="Arial" w:eastAsia="Times New Roman" w:hAnsi="Arial" w:cs="Arial"/>
          <w:b/>
          <w:bCs/>
          <w:color w:val="252525"/>
          <w:sz w:val="26"/>
          <w:szCs w:val="26"/>
          <w:lang w:eastAsia="es-MX"/>
        </w:rPr>
        <w:t>De capital</w:t>
      </w:r>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o</w:t>
      </w:r>
      <w:r w:rsidRPr="008857A8">
        <w:rPr>
          <w:rFonts w:ascii="Arial" w:eastAsia="Times New Roman" w:hAnsi="Arial" w:cs="Arial"/>
          <w:color w:val="252525"/>
          <w:sz w:val="26"/>
          <w:lang w:eastAsia="es-MX"/>
        </w:rPr>
        <w:t> </w:t>
      </w:r>
      <w:r w:rsidRPr="008857A8">
        <w:rPr>
          <w:rFonts w:ascii="Arial" w:eastAsia="Times New Roman" w:hAnsi="Arial" w:cs="Arial"/>
          <w:b/>
          <w:bCs/>
          <w:color w:val="252525"/>
          <w:sz w:val="26"/>
          <w:szCs w:val="26"/>
          <w:lang w:eastAsia="es-MX"/>
        </w:rPr>
        <w:t>compañía anónima</w:t>
      </w:r>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w:t>
      </w:r>
      <w:hyperlink r:id="rId15" w:tooltip="Sociedad anónima" w:history="1">
        <w:r w:rsidRPr="008857A8">
          <w:rPr>
            <w:rFonts w:ascii="Arial" w:eastAsia="Times New Roman" w:hAnsi="Arial" w:cs="Arial"/>
            <w:b/>
            <w:bCs/>
            <w:color w:val="0B0080"/>
            <w:sz w:val="26"/>
            <w:lang w:eastAsia="es-MX"/>
          </w:rPr>
          <w:t>sociedad anónima</w:t>
        </w:r>
      </w:hyperlink>
      <w:r w:rsidRPr="008857A8">
        <w:rPr>
          <w:rFonts w:ascii="Arial" w:eastAsia="Times New Roman" w:hAnsi="Arial" w:cs="Arial"/>
          <w:color w:val="252525"/>
          <w:sz w:val="26"/>
          <w:szCs w:val="26"/>
          <w:lang w:eastAsia="es-MX"/>
        </w:rPr>
        <w:t>): En esta, las obligaciones sociales están garantizadas por un capital determinado y los socios solo están obligados a responder por el monto de su acción, así que al cancelar el monto de su acción o paquete accionario se deslinda de responsabilidad sobre las obligaciones de la empresa que pudieran superar este aporte.</w:t>
      </w:r>
    </w:p>
    <w:p w:rsidR="008857A8" w:rsidRPr="008857A8" w:rsidRDefault="008857A8" w:rsidP="008857A8">
      <w:pPr>
        <w:numPr>
          <w:ilvl w:val="0"/>
          <w:numId w:val="4"/>
        </w:numPr>
        <w:shd w:val="clear" w:color="auto" w:fill="FFFFFF"/>
        <w:spacing w:before="100" w:beforeAutospacing="1" w:after="24" w:line="360" w:lineRule="atLeast"/>
        <w:ind w:left="384"/>
        <w:rPr>
          <w:rFonts w:ascii="Arial" w:eastAsia="Times New Roman" w:hAnsi="Arial" w:cs="Arial"/>
          <w:color w:val="252525"/>
          <w:sz w:val="26"/>
          <w:szCs w:val="26"/>
          <w:lang w:eastAsia="es-MX"/>
        </w:rPr>
      </w:pPr>
      <w:r w:rsidRPr="008857A8">
        <w:rPr>
          <w:rFonts w:ascii="Arial" w:eastAsia="Times New Roman" w:hAnsi="Arial" w:cs="Arial"/>
          <w:b/>
          <w:bCs/>
          <w:color w:val="252525"/>
          <w:sz w:val="26"/>
          <w:szCs w:val="26"/>
          <w:lang w:eastAsia="es-MX"/>
        </w:rPr>
        <w:lastRenderedPageBreak/>
        <w:t>De sociedad</w:t>
      </w:r>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o</w:t>
      </w:r>
      <w:r w:rsidRPr="008857A8">
        <w:rPr>
          <w:rFonts w:ascii="Arial" w:eastAsia="Times New Roman" w:hAnsi="Arial" w:cs="Arial"/>
          <w:color w:val="252525"/>
          <w:sz w:val="26"/>
          <w:lang w:eastAsia="es-MX"/>
        </w:rPr>
        <w:t> </w:t>
      </w:r>
      <w:r w:rsidRPr="008857A8">
        <w:rPr>
          <w:rFonts w:ascii="Arial" w:eastAsia="Times New Roman" w:hAnsi="Arial" w:cs="Arial"/>
          <w:b/>
          <w:bCs/>
          <w:color w:val="252525"/>
          <w:sz w:val="26"/>
          <w:szCs w:val="26"/>
          <w:lang w:eastAsia="es-MX"/>
        </w:rPr>
        <w:t>compañía a nombre colectivo</w:t>
      </w:r>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w:t>
      </w:r>
      <w:hyperlink r:id="rId16" w:tooltip="Sociedad colectiva" w:history="1">
        <w:r w:rsidRPr="008857A8">
          <w:rPr>
            <w:rFonts w:ascii="Arial" w:eastAsia="Times New Roman" w:hAnsi="Arial" w:cs="Arial"/>
            <w:b/>
            <w:bCs/>
            <w:color w:val="0B0080"/>
            <w:sz w:val="26"/>
            <w:lang w:eastAsia="es-MX"/>
          </w:rPr>
          <w:t>sociedad colectiva</w:t>
        </w:r>
      </w:hyperlink>
      <w:r w:rsidRPr="008857A8">
        <w:rPr>
          <w:rFonts w:ascii="Arial" w:eastAsia="Times New Roman" w:hAnsi="Arial" w:cs="Arial"/>
          <w:color w:val="252525"/>
          <w:sz w:val="26"/>
          <w:szCs w:val="26"/>
          <w:lang w:eastAsia="es-MX"/>
        </w:rPr>
        <w:t xml:space="preserve">): En esta las obligaciones sociales están garantizadas por la responsabilidad ilimitada y solidaria de todos los socios. Esto quiere decir que todos los socios están en el deber de afrontar todas las obligaciones de la empresa, por tanto si un socio fuera incapaz de responder por falta de dinero u otros motivos los demás socios asumirían el compromiso. Este sistema </w:t>
      </w:r>
      <w:proofErr w:type="spellStart"/>
      <w:r w:rsidRPr="008857A8">
        <w:rPr>
          <w:rFonts w:ascii="Arial" w:eastAsia="Times New Roman" w:hAnsi="Arial" w:cs="Arial"/>
          <w:color w:val="252525"/>
          <w:sz w:val="26"/>
          <w:szCs w:val="26"/>
          <w:lang w:eastAsia="es-MX"/>
        </w:rPr>
        <w:t>esta</w:t>
      </w:r>
      <w:proofErr w:type="spellEnd"/>
      <w:r w:rsidRPr="008857A8">
        <w:rPr>
          <w:rFonts w:ascii="Arial" w:eastAsia="Times New Roman" w:hAnsi="Arial" w:cs="Arial"/>
          <w:color w:val="252525"/>
          <w:sz w:val="26"/>
          <w:szCs w:val="26"/>
          <w:lang w:eastAsia="es-MX"/>
        </w:rPr>
        <w:t xml:space="preserve"> en desuso por el alto nivel de riesgo que representa que cada socio deba afrontar la totalidad de las obligaciones de la empresa, así si una división de la empresa hace un mal negocio y quiebra arrastra a todas las demás, aún sin tener nada que ver en el proceso. En su origen fue viable porque se basaba en propiedades familiares y cada uno de los miembros de las familias con un alto valor ético y moral respondían solidariamente por las obligaciones contraídas.</w:t>
      </w:r>
    </w:p>
    <w:p w:rsidR="008857A8" w:rsidRPr="008857A8" w:rsidRDefault="008857A8" w:rsidP="008857A8">
      <w:pPr>
        <w:numPr>
          <w:ilvl w:val="0"/>
          <w:numId w:val="5"/>
        </w:numPr>
        <w:shd w:val="clear" w:color="auto" w:fill="FFFFFF"/>
        <w:spacing w:before="100" w:beforeAutospacing="1" w:after="24" w:line="360" w:lineRule="atLeast"/>
        <w:ind w:left="384"/>
        <w:rPr>
          <w:rFonts w:ascii="Arial" w:eastAsia="Times New Roman" w:hAnsi="Arial" w:cs="Arial"/>
          <w:color w:val="252525"/>
          <w:sz w:val="26"/>
          <w:szCs w:val="26"/>
          <w:lang w:eastAsia="es-MX"/>
        </w:rPr>
      </w:pPr>
      <w:r w:rsidRPr="008857A8">
        <w:rPr>
          <w:rFonts w:ascii="Arial" w:eastAsia="Times New Roman" w:hAnsi="Arial" w:cs="Arial"/>
          <w:b/>
          <w:bCs/>
          <w:color w:val="252525"/>
          <w:sz w:val="26"/>
          <w:szCs w:val="26"/>
          <w:lang w:eastAsia="es-MX"/>
        </w:rPr>
        <w:t>De sociedad mixta</w:t>
      </w:r>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o</w:t>
      </w:r>
      <w:r w:rsidRPr="008857A8">
        <w:rPr>
          <w:rFonts w:ascii="Arial" w:eastAsia="Times New Roman" w:hAnsi="Arial" w:cs="Arial"/>
          <w:color w:val="252525"/>
          <w:sz w:val="26"/>
          <w:lang w:eastAsia="es-MX"/>
        </w:rPr>
        <w:t> </w:t>
      </w:r>
      <w:r w:rsidRPr="008857A8">
        <w:rPr>
          <w:rFonts w:ascii="Arial" w:eastAsia="Times New Roman" w:hAnsi="Arial" w:cs="Arial"/>
          <w:b/>
          <w:bCs/>
          <w:color w:val="252525"/>
          <w:sz w:val="26"/>
          <w:szCs w:val="26"/>
          <w:lang w:eastAsia="es-MX"/>
        </w:rPr>
        <w:t>compañía de comandita</w:t>
      </w:r>
      <w:r w:rsidRPr="008857A8">
        <w:rPr>
          <w:rFonts w:ascii="Arial" w:eastAsia="Times New Roman" w:hAnsi="Arial" w:cs="Arial"/>
          <w:color w:val="252525"/>
          <w:sz w:val="26"/>
          <w:szCs w:val="26"/>
          <w:lang w:eastAsia="es-MX"/>
        </w:rPr>
        <w:t xml:space="preserve">: Aquí se agrupan las dos modalidades, habiendo socios cuya responsabilidad social se limita a una suma determinada y otros llamados socios solidarios o </w:t>
      </w:r>
      <w:proofErr w:type="spellStart"/>
      <w:r w:rsidRPr="008857A8">
        <w:rPr>
          <w:rFonts w:ascii="Arial" w:eastAsia="Times New Roman" w:hAnsi="Arial" w:cs="Arial"/>
          <w:color w:val="252525"/>
          <w:sz w:val="26"/>
          <w:szCs w:val="26"/>
          <w:lang w:eastAsia="es-MX"/>
        </w:rPr>
        <w:t>comanditantes</w:t>
      </w:r>
      <w:proofErr w:type="spellEnd"/>
      <w:r w:rsidRPr="008857A8">
        <w:rPr>
          <w:rFonts w:ascii="Arial" w:eastAsia="Times New Roman" w:hAnsi="Arial" w:cs="Arial"/>
          <w:color w:val="252525"/>
          <w:sz w:val="26"/>
          <w:szCs w:val="26"/>
          <w:lang w:eastAsia="es-MX"/>
        </w:rPr>
        <w:t xml:space="preserve"> en el que a cada uno que responden por el total de las obligaciones de la empresa.</w:t>
      </w:r>
    </w:p>
    <w:p w:rsidR="008857A8" w:rsidRDefault="008857A8" w:rsidP="008857A8">
      <w:pPr>
        <w:numPr>
          <w:ilvl w:val="0"/>
          <w:numId w:val="6"/>
        </w:numPr>
        <w:shd w:val="clear" w:color="auto" w:fill="FFFFFF"/>
        <w:spacing w:before="100" w:beforeAutospacing="1" w:after="24" w:line="360" w:lineRule="atLeast"/>
        <w:ind w:left="384"/>
        <w:rPr>
          <w:rFonts w:ascii="Arial" w:eastAsia="Times New Roman" w:hAnsi="Arial" w:cs="Arial"/>
          <w:color w:val="252525"/>
          <w:sz w:val="26"/>
          <w:szCs w:val="26"/>
          <w:lang w:eastAsia="es-MX"/>
        </w:rPr>
      </w:pPr>
      <w:r w:rsidRPr="008857A8">
        <w:rPr>
          <w:rFonts w:ascii="Arial" w:eastAsia="Times New Roman" w:hAnsi="Arial" w:cs="Arial"/>
          <w:b/>
          <w:bCs/>
          <w:color w:val="252525"/>
          <w:sz w:val="26"/>
          <w:szCs w:val="26"/>
          <w:lang w:eastAsia="es-MX"/>
        </w:rPr>
        <w:t>Compañía de responsabilidad limitada</w:t>
      </w:r>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w:t>
      </w:r>
      <w:hyperlink r:id="rId17" w:tooltip="Sociedad limitada" w:history="1">
        <w:r w:rsidRPr="008857A8">
          <w:rPr>
            <w:rFonts w:ascii="Arial" w:eastAsia="Times New Roman" w:hAnsi="Arial" w:cs="Arial"/>
            <w:b/>
            <w:bCs/>
            <w:color w:val="0B0080"/>
            <w:sz w:val="26"/>
            <w:lang w:eastAsia="es-MX"/>
          </w:rPr>
          <w:t>sociedad limitada</w:t>
        </w:r>
      </w:hyperlink>
      <w:r w:rsidRPr="008857A8">
        <w:rPr>
          <w:rFonts w:ascii="Arial" w:eastAsia="Times New Roman" w:hAnsi="Arial" w:cs="Arial"/>
          <w:color w:val="252525"/>
          <w:sz w:val="26"/>
          <w:szCs w:val="26"/>
          <w:lang w:eastAsia="es-MX"/>
        </w:rPr>
        <w:t>): Aquí las obligaciones sociales están garantizadas por un capital determinado dividido en cuotas de participación. Se diferencia de las compañías en que no son fácilmente transmisibles ya que las cuotas no se pueden representar en acciones ni títulos negociables.</w:t>
      </w:r>
    </w:p>
    <w:p w:rsidR="008857A8" w:rsidRPr="008857A8" w:rsidRDefault="008857A8" w:rsidP="008857A8">
      <w:pPr>
        <w:shd w:val="clear" w:color="auto" w:fill="FFFFFF"/>
        <w:spacing w:before="100" w:beforeAutospacing="1" w:after="24" w:line="360" w:lineRule="atLeast"/>
        <w:rPr>
          <w:rFonts w:ascii="Arial" w:eastAsia="Times New Roman" w:hAnsi="Arial" w:cs="Arial"/>
          <w:color w:val="252525"/>
          <w:sz w:val="26"/>
          <w:szCs w:val="26"/>
          <w:lang w:eastAsia="es-MX"/>
        </w:rPr>
      </w:pPr>
      <w:r>
        <w:rPr>
          <w:rFonts w:ascii="Arial" w:eastAsia="Times New Roman" w:hAnsi="Arial" w:cs="Arial"/>
          <w:color w:val="252525"/>
          <w:sz w:val="26"/>
          <w:szCs w:val="26"/>
          <w:lang w:eastAsia="es-MX"/>
        </w:rPr>
        <w:t>ORGANOS DE LAS SOCIEDADES MERCANTILES</w:t>
      </w:r>
    </w:p>
    <w:p w:rsidR="008857A8" w:rsidRPr="008857A8" w:rsidRDefault="008857A8" w:rsidP="008857A8">
      <w:pPr>
        <w:shd w:val="clear" w:color="auto" w:fill="FFFFFF"/>
        <w:spacing w:before="120" w:after="120" w:line="419" w:lineRule="atLeast"/>
        <w:rPr>
          <w:rFonts w:ascii="Arial" w:eastAsia="Times New Roman" w:hAnsi="Arial" w:cs="Arial"/>
          <w:color w:val="252525"/>
          <w:sz w:val="26"/>
          <w:szCs w:val="26"/>
          <w:lang w:eastAsia="es-MX"/>
        </w:rPr>
      </w:pPr>
      <w:r w:rsidRPr="008857A8">
        <w:rPr>
          <w:rFonts w:ascii="Arial" w:eastAsia="Times New Roman" w:hAnsi="Arial" w:cs="Arial"/>
          <w:color w:val="252525"/>
          <w:sz w:val="26"/>
          <w:szCs w:val="26"/>
          <w:lang w:eastAsia="es-MX"/>
        </w:rPr>
        <w:t>En las sociedades Mercantiles normalmente coexisten tres tipos de órganos.</w:t>
      </w:r>
    </w:p>
    <w:p w:rsidR="008857A8" w:rsidRPr="008857A8" w:rsidRDefault="008857A8" w:rsidP="008857A8">
      <w:pPr>
        <w:numPr>
          <w:ilvl w:val="0"/>
          <w:numId w:val="7"/>
        </w:numPr>
        <w:shd w:val="clear" w:color="auto" w:fill="FFFFFF"/>
        <w:spacing w:before="100" w:beforeAutospacing="1" w:after="24" w:line="360" w:lineRule="atLeast"/>
        <w:ind w:left="384"/>
        <w:rPr>
          <w:rFonts w:ascii="Arial" w:eastAsia="Times New Roman" w:hAnsi="Arial" w:cs="Arial"/>
          <w:color w:val="252525"/>
          <w:sz w:val="26"/>
          <w:szCs w:val="26"/>
          <w:lang w:eastAsia="es-MX"/>
        </w:rPr>
      </w:pPr>
      <w:r w:rsidRPr="008857A8">
        <w:rPr>
          <w:rFonts w:ascii="Arial" w:eastAsia="Times New Roman" w:hAnsi="Arial" w:cs="Arial"/>
          <w:b/>
          <w:bCs/>
          <w:color w:val="252525"/>
          <w:sz w:val="26"/>
          <w:szCs w:val="26"/>
          <w:lang w:eastAsia="es-MX"/>
        </w:rPr>
        <w:t>Órgano Gubernamental</w:t>
      </w:r>
      <w:r w:rsidRPr="008857A8">
        <w:rPr>
          <w:rFonts w:ascii="Arial" w:eastAsia="Times New Roman" w:hAnsi="Arial" w:cs="Arial"/>
          <w:color w:val="252525"/>
          <w:sz w:val="26"/>
          <w:szCs w:val="26"/>
          <w:lang w:eastAsia="es-MX"/>
        </w:rPr>
        <w:t>: su función es la de determinar las decisiones fundamentales en cuanto a la dirección de la sociedad. En la mayor parte de las legislaciones corresponde al</w:t>
      </w:r>
      <w:r w:rsidRPr="008857A8">
        <w:rPr>
          <w:rFonts w:ascii="Arial" w:eastAsia="Times New Roman" w:hAnsi="Arial" w:cs="Arial"/>
          <w:color w:val="252525"/>
          <w:sz w:val="26"/>
          <w:lang w:eastAsia="es-MX"/>
        </w:rPr>
        <w:t> </w:t>
      </w:r>
      <w:hyperlink r:id="rId18" w:tooltip="Consejo de administración" w:history="1">
        <w:r w:rsidRPr="008857A8">
          <w:rPr>
            <w:rFonts w:ascii="Arial" w:eastAsia="Times New Roman" w:hAnsi="Arial" w:cs="Arial"/>
            <w:color w:val="0B0080"/>
            <w:sz w:val="26"/>
            <w:lang w:eastAsia="es-MX"/>
          </w:rPr>
          <w:t>Consejo de administración</w:t>
        </w:r>
      </w:hyperlink>
      <w:r w:rsidRPr="008857A8">
        <w:rPr>
          <w:rFonts w:ascii="Arial" w:eastAsia="Times New Roman" w:hAnsi="Arial" w:cs="Arial"/>
          <w:color w:val="252525"/>
          <w:sz w:val="26"/>
          <w:szCs w:val="26"/>
          <w:lang w:eastAsia="es-MX"/>
        </w:rPr>
        <w:t>, generalmente un organismo colegiado menor, aunque también se considera, para decisiones muy importantes, la</w:t>
      </w:r>
      <w:r w:rsidRPr="008857A8">
        <w:rPr>
          <w:rFonts w:ascii="Arial" w:eastAsia="Times New Roman" w:hAnsi="Arial" w:cs="Arial"/>
          <w:color w:val="252525"/>
          <w:sz w:val="26"/>
          <w:lang w:eastAsia="es-MX"/>
        </w:rPr>
        <w:t> </w:t>
      </w:r>
      <w:hyperlink r:id="rId19" w:tooltip="Junta de Accionistas" w:history="1">
        <w:r w:rsidRPr="008857A8">
          <w:rPr>
            <w:rFonts w:ascii="Arial" w:eastAsia="Times New Roman" w:hAnsi="Arial" w:cs="Arial"/>
            <w:color w:val="0B0080"/>
            <w:sz w:val="26"/>
            <w:lang w:eastAsia="es-MX"/>
          </w:rPr>
          <w:t>Junta de Accionistas</w:t>
        </w:r>
      </w:hyperlink>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cuando la ley establece su intervención como perentoria.</w:t>
      </w:r>
    </w:p>
    <w:p w:rsidR="008857A8" w:rsidRPr="008857A8" w:rsidRDefault="008857A8" w:rsidP="008857A8">
      <w:pPr>
        <w:numPr>
          <w:ilvl w:val="0"/>
          <w:numId w:val="7"/>
        </w:numPr>
        <w:shd w:val="clear" w:color="auto" w:fill="FFFFFF"/>
        <w:spacing w:before="100" w:beforeAutospacing="1" w:after="24" w:line="360" w:lineRule="atLeast"/>
        <w:ind w:left="384"/>
        <w:rPr>
          <w:rFonts w:ascii="Arial" w:eastAsia="Times New Roman" w:hAnsi="Arial" w:cs="Arial"/>
          <w:color w:val="252525"/>
          <w:sz w:val="26"/>
          <w:szCs w:val="26"/>
          <w:lang w:eastAsia="es-MX"/>
        </w:rPr>
      </w:pPr>
      <w:r w:rsidRPr="008857A8">
        <w:rPr>
          <w:rFonts w:ascii="Arial" w:eastAsia="Times New Roman" w:hAnsi="Arial" w:cs="Arial"/>
          <w:b/>
          <w:bCs/>
          <w:color w:val="252525"/>
          <w:sz w:val="26"/>
          <w:szCs w:val="26"/>
          <w:lang w:eastAsia="es-MX"/>
        </w:rPr>
        <w:t>Órgano Administrativo</w:t>
      </w:r>
      <w:r w:rsidRPr="008857A8">
        <w:rPr>
          <w:rFonts w:ascii="Arial" w:eastAsia="Times New Roman" w:hAnsi="Arial" w:cs="Arial"/>
          <w:color w:val="252525"/>
          <w:sz w:val="26"/>
          <w:szCs w:val="26"/>
          <w:lang w:eastAsia="es-MX"/>
        </w:rPr>
        <w:t xml:space="preserve">: realiza las labores técnicas y económicas que sirven para el normal funcionamiento de la empresa. Por regla general queda en manos de </w:t>
      </w:r>
      <w:proofErr w:type="spellStart"/>
      <w:r w:rsidRPr="008857A8">
        <w:rPr>
          <w:rFonts w:ascii="Arial" w:eastAsia="Times New Roman" w:hAnsi="Arial" w:cs="Arial"/>
          <w:color w:val="252525"/>
          <w:sz w:val="26"/>
          <w:szCs w:val="26"/>
          <w:lang w:eastAsia="es-MX"/>
        </w:rPr>
        <w:t>la</w:t>
      </w:r>
      <w:hyperlink r:id="rId20" w:tooltip="Gerencia" w:history="1">
        <w:r w:rsidRPr="008857A8">
          <w:rPr>
            <w:rFonts w:ascii="Arial" w:eastAsia="Times New Roman" w:hAnsi="Arial" w:cs="Arial"/>
            <w:color w:val="0B0080"/>
            <w:sz w:val="26"/>
            <w:lang w:eastAsia="es-MX"/>
          </w:rPr>
          <w:t>Gerencia</w:t>
        </w:r>
        <w:proofErr w:type="spellEnd"/>
      </w:hyperlink>
      <w:r w:rsidRPr="008857A8">
        <w:rPr>
          <w:rFonts w:ascii="Arial" w:eastAsia="Times New Roman" w:hAnsi="Arial" w:cs="Arial"/>
          <w:color w:val="252525"/>
          <w:sz w:val="26"/>
          <w:szCs w:val="26"/>
          <w:lang w:eastAsia="es-MX"/>
        </w:rPr>
        <w:t>.</w:t>
      </w:r>
    </w:p>
    <w:p w:rsidR="008857A8" w:rsidRDefault="008857A8" w:rsidP="008857A8">
      <w:pPr>
        <w:numPr>
          <w:ilvl w:val="0"/>
          <w:numId w:val="7"/>
        </w:numPr>
        <w:shd w:val="clear" w:color="auto" w:fill="FFFFFF"/>
        <w:spacing w:before="100" w:beforeAutospacing="1" w:after="24" w:line="360" w:lineRule="atLeast"/>
        <w:ind w:left="384"/>
        <w:rPr>
          <w:rFonts w:ascii="Arial" w:eastAsia="Times New Roman" w:hAnsi="Arial" w:cs="Arial"/>
          <w:color w:val="252525"/>
          <w:sz w:val="26"/>
          <w:szCs w:val="26"/>
          <w:lang w:eastAsia="es-MX"/>
        </w:rPr>
      </w:pPr>
      <w:r w:rsidRPr="008857A8">
        <w:rPr>
          <w:rFonts w:ascii="Arial" w:eastAsia="Times New Roman" w:hAnsi="Arial" w:cs="Arial"/>
          <w:b/>
          <w:bCs/>
          <w:color w:val="252525"/>
          <w:sz w:val="26"/>
          <w:szCs w:val="26"/>
          <w:lang w:eastAsia="es-MX"/>
        </w:rPr>
        <w:t>Órgano de Vigilancia</w:t>
      </w:r>
      <w:r w:rsidRPr="008857A8">
        <w:rPr>
          <w:rFonts w:ascii="Arial" w:eastAsia="Times New Roman" w:hAnsi="Arial" w:cs="Arial"/>
          <w:color w:val="252525"/>
          <w:sz w:val="26"/>
          <w:szCs w:val="26"/>
          <w:lang w:eastAsia="es-MX"/>
        </w:rPr>
        <w:t>: tiene por fin velar por que los derechos de los socios sean respetados por los órganos gubernamentales y administrativos. En general, la Junta de Socios ejerce primariamente la función supervisora, aunque algunas legislaciones establecen también la conformación de comités o instancias de</w:t>
      </w:r>
      <w:r w:rsidRPr="008857A8">
        <w:rPr>
          <w:rFonts w:ascii="Arial" w:eastAsia="Times New Roman" w:hAnsi="Arial" w:cs="Arial"/>
          <w:color w:val="252525"/>
          <w:sz w:val="26"/>
          <w:lang w:eastAsia="es-MX"/>
        </w:rPr>
        <w:t> </w:t>
      </w:r>
      <w:hyperlink r:id="rId21" w:tooltip="Auditoría" w:history="1">
        <w:r w:rsidRPr="008857A8">
          <w:rPr>
            <w:rFonts w:ascii="Arial" w:eastAsia="Times New Roman" w:hAnsi="Arial" w:cs="Arial"/>
            <w:color w:val="0B0080"/>
            <w:sz w:val="26"/>
            <w:lang w:eastAsia="es-MX"/>
          </w:rPr>
          <w:t>auditoría</w:t>
        </w:r>
      </w:hyperlink>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tanto internas como externas a la sociedad.</w:t>
      </w:r>
    </w:p>
    <w:p w:rsidR="008857A8" w:rsidRPr="008857A8" w:rsidRDefault="008857A8" w:rsidP="008857A8">
      <w:pPr>
        <w:shd w:val="clear" w:color="auto" w:fill="FFFFFF"/>
        <w:spacing w:before="100" w:beforeAutospacing="1" w:after="24" w:line="360" w:lineRule="atLeast"/>
        <w:ind w:left="384"/>
        <w:rPr>
          <w:rFonts w:ascii="Arial" w:eastAsia="Times New Roman" w:hAnsi="Arial" w:cs="Arial"/>
          <w:color w:val="252525"/>
          <w:sz w:val="26"/>
          <w:szCs w:val="26"/>
          <w:lang w:eastAsia="es-MX"/>
        </w:rPr>
      </w:pPr>
    </w:p>
    <w:p w:rsidR="008857A8" w:rsidRDefault="008857A8" w:rsidP="008857A8">
      <w:pPr>
        <w:pStyle w:val="Ttulo3"/>
        <w:shd w:val="clear" w:color="auto" w:fill="FFFFFF"/>
        <w:spacing w:before="72" w:beforeAutospacing="0" w:after="0" w:afterAutospacing="0"/>
        <w:rPr>
          <w:rFonts w:ascii="Arial" w:hAnsi="Arial" w:cs="Arial"/>
          <w:color w:val="000000"/>
          <w:sz w:val="28"/>
          <w:szCs w:val="28"/>
        </w:rPr>
      </w:pPr>
      <w:r>
        <w:rPr>
          <w:rStyle w:val="mw-headline"/>
          <w:rFonts w:ascii="Arial" w:hAnsi="Arial" w:cs="Arial"/>
          <w:color w:val="000000"/>
          <w:sz w:val="28"/>
          <w:szCs w:val="28"/>
        </w:rPr>
        <w:t>Transformación</w:t>
      </w:r>
    </w:p>
    <w:p w:rsidR="008857A8" w:rsidRDefault="008857A8" w:rsidP="008857A8">
      <w:pPr>
        <w:pStyle w:val="NormalWeb"/>
        <w:shd w:val="clear" w:color="auto" w:fill="FFFFFF"/>
        <w:spacing w:before="120" w:after="120" w:line="336" w:lineRule="atLeast"/>
        <w:rPr>
          <w:rFonts w:ascii="Arial" w:hAnsi="Arial" w:cs="Arial"/>
          <w:color w:val="252525"/>
          <w:sz w:val="21"/>
          <w:szCs w:val="21"/>
        </w:rPr>
      </w:pPr>
      <w:r>
        <w:rPr>
          <w:rFonts w:ascii="Arial" w:hAnsi="Arial" w:cs="Arial"/>
          <w:color w:val="252525"/>
          <w:sz w:val="21"/>
          <w:szCs w:val="21"/>
        </w:rPr>
        <w:t>La transformación es un fenómeno jurídico por medio del cual una Sociedad Mercantil cambia su estructura originaria por otra de las reconocidas por la legislación, conservando su personalidad jurídica inicial.</w:t>
      </w:r>
    </w:p>
    <w:p w:rsidR="008857A8" w:rsidRDefault="008857A8" w:rsidP="008857A8">
      <w:pPr>
        <w:shd w:val="clear" w:color="auto" w:fill="FFFFFF"/>
        <w:spacing w:after="24" w:line="336" w:lineRule="atLeast"/>
        <w:rPr>
          <w:rFonts w:ascii="Arial" w:hAnsi="Arial" w:cs="Arial"/>
          <w:b/>
          <w:bCs/>
          <w:color w:val="252525"/>
          <w:sz w:val="21"/>
          <w:szCs w:val="21"/>
        </w:rPr>
      </w:pPr>
      <w:r>
        <w:rPr>
          <w:rFonts w:ascii="Arial" w:hAnsi="Arial" w:cs="Arial"/>
          <w:b/>
          <w:bCs/>
          <w:color w:val="252525"/>
          <w:sz w:val="21"/>
          <w:szCs w:val="21"/>
        </w:rPr>
        <w:t>Obligaciones fiscales</w:t>
      </w:r>
    </w:p>
    <w:p w:rsidR="008857A8" w:rsidRDefault="008857A8" w:rsidP="008857A8">
      <w:pPr>
        <w:pStyle w:val="NormalWeb"/>
        <w:shd w:val="clear" w:color="auto" w:fill="FFFFFF"/>
        <w:spacing w:before="120" w:after="120" w:line="336" w:lineRule="atLeast"/>
        <w:rPr>
          <w:rFonts w:ascii="Arial" w:hAnsi="Arial" w:cs="Arial"/>
          <w:color w:val="252525"/>
          <w:sz w:val="21"/>
          <w:szCs w:val="21"/>
        </w:rPr>
      </w:pPr>
      <w:r>
        <w:rPr>
          <w:rFonts w:ascii="Arial" w:hAnsi="Arial" w:cs="Arial"/>
          <w:color w:val="252525"/>
          <w:sz w:val="21"/>
          <w:szCs w:val="21"/>
        </w:rPr>
        <w:t>Cuando una sociedad decide transformarse, tiene que cumplir con ciertas obligaciones fiscales: lo primero que debe hacer es notificar del cambio de razón social en la oficina receptora, en un plazo de 10 días, acompañado de la escritura correspondiente. Posteriormente debe presentar, dentro de los 90 días siguientes a aquel en que se hizo el cambio de razón social, una declaración para efectos del impuesto sobre la renta, la cual debe abarcar desde el día siguiente a la fecha en que terminó el último periodo declarado hasta la fecha de cambio de razón o social.</w:t>
      </w:r>
    </w:p>
    <w:p w:rsidR="008857A8" w:rsidRDefault="008857A8" w:rsidP="008857A8">
      <w:pPr>
        <w:pStyle w:val="Ttulo3"/>
        <w:shd w:val="clear" w:color="auto" w:fill="FFFFFF"/>
        <w:spacing w:before="72" w:beforeAutospacing="0" w:after="0" w:afterAutospacing="0"/>
        <w:rPr>
          <w:rFonts w:ascii="Arial" w:hAnsi="Arial" w:cs="Arial"/>
          <w:color w:val="000000"/>
          <w:sz w:val="28"/>
          <w:szCs w:val="28"/>
        </w:rPr>
      </w:pPr>
      <w:r>
        <w:rPr>
          <w:rStyle w:val="mw-headline"/>
          <w:rFonts w:ascii="Arial" w:hAnsi="Arial" w:cs="Arial"/>
          <w:color w:val="000000"/>
          <w:sz w:val="28"/>
          <w:szCs w:val="28"/>
        </w:rPr>
        <w:t>Fusión</w:t>
      </w:r>
    </w:p>
    <w:p w:rsidR="008857A8" w:rsidRDefault="008857A8" w:rsidP="008857A8">
      <w:pPr>
        <w:pStyle w:val="NormalWeb"/>
        <w:shd w:val="clear" w:color="auto" w:fill="FFFFFF"/>
        <w:spacing w:before="120" w:after="120" w:line="336" w:lineRule="atLeast"/>
        <w:rPr>
          <w:rFonts w:ascii="Arial" w:hAnsi="Arial" w:cs="Arial"/>
          <w:color w:val="252525"/>
          <w:sz w:val="21"/>
          <w:szCs w:val="21"/>
        </w:rPr>
      </w:pPr>
      <w:r>
        <w:rPr>
          <w:rFonts w:ascii="Arial" w:hAnsi="Arial" w:cs="Arial"/>
          <w:color w:val="252525"/>
          <w:sz w:val="21"/>
          <w:szCs w:val="21"/>
        </w:rPr>
        <w:lastRenderedPageBreak/>
        <w:t>Es el acto por el cual dos o más sociedades unen sus patrimonios, concentrándolos bajo la titularidad de una sola sociedad. Puede darse por dos métodos: el de absorción, que se presenta cuando una sociedad absorbe a una o más sociedades; y el de combinación, la cual surge de la unión de dos o más sociedades para formar otra distinta.</w:t>
      </w:r>
    </w:p>
    <w:p w:rsidR="008857A8" w:rsidRDefault="008857A8" w:rsidP="008857A8">
      <w:pPr>
        <w:pStyle w:val="NormalWeb"/>
        <w:shd w:val="clear" w:color="auto" w:fill="FFFFFF"/>
        <w:spacing w:before="120" w:after="120" w:line="336" w:lineRule="atLeast"/>
        <w:rPr>
          <w:rFonts w:ascii="Arial" w:hAnsi="Arial" w:cs="Arial"/>
          <w:color w:val="252525"/>
          <w:sz w:val="21"/>
          <w:szCs w:val="21"/>
        </w:rPr>
      </w:pPr>
      <w:r>
        <w:rPr>
          <w:rFonts w:ascii="Arial" w:hAnsi="Arial" w:cs="Arial"/>
          <w:color w:val="252525"/>
          <w:sz w:val="21"/>
          <w:szCs w:val="21"/>
        </w:rPr>
        <w:t>Su proceso comprende dos momentos, en primer lugar cada sociedad deberá tomar el acuerdo de fusión en sus estatutos, en segundo lugar se deberá celebrar el convenio de fusión entre las sociedades. El acuerdo de fusión debe inscribirse en el registro público de comercio y publicarse en el periódico oficial de la entidad del domicilio de la sociedad; cada una de ellas deberá publicar su último balance, y las que hayan de extinguirse deberán publicar además la forma como vaya a ser cubierto su pasivo (artículo 223).</w:t>
      </w:r>
    </w:p>
    <w:p w:rsidR="008857A8" w:rsidRDefault="008857A8" w:rsidP="008857A8">
      <w:pPr>
        <w:pStyle w:val="NormalWeb"/>
        <w:shd w:val="clear" w:color="auto" w:fill="FFFFFF"/>
        <w:spacing w:before="120" w:after="120" w:line="336" w:lineRule="atLeast"/>
        <w:rPr>
          <w:rFonts w:ascii="Arial" w:hAnsi="Arial" w:cs="Arial"/>
          <w:color w:val="252525"/>
          <w:sz w:val="21"/>
          <w:szCs w:val="21"/>
        </w:rPr>
      </w:pPr>
      <w:r>
        <w:rPr>
          <w:rFonts w:ascii="Arial" w:hAnsi="Arial" w:cs="Arial"/>
          <w:color w:val="252525"/>
          <w:sz w:val="21"/>
          <w:szCs w:val="21"/>
        </w:rPr>
        <w:t>La Sociedades de Accionistas Corporativos (SAC); solamente podrán fusionarse con</w:t>
      </w:r>
      <w:r>
        <w:rPr>
          <w:rStyle w:val="apple-converted-space"/>
          <w:rFonts w:ascii="Arial" w:hAnsi="Arial" w:cs="Arial"/>
          <w:color w:val="252525"/>
          <w:sz w:val="21"/>
          <w:szCs w:val="21"/>
        </w:rPr>
        <w:t> </w:t>
      </w:r>
      <w:hyperlink r:id="rId22" w:tooltip="Sociedad Anónima" w:history="1">
        <w:r>
          <w:rPr>
            <w:rStyle w:val="Hipervnculo"/>
            <w:rFonts w:ascii="Arial" w:hAnsi="Arial" w:cs="Arial"/>
            <w:color w:val="0B0080"/>
            <w:sz w:val="21"/>
            <w:szCs w:val="21"/>
          </w:rPr>
          <w:t>Sociedades Anónimas</w:t>
        </w:r>
      </w:hyperlink>
      <w:r>
        <w:rPr>
          <w:rFonts w:ascii="Arial" w:hAnsi="Arial" w:cs="Arial"/>
          <w:color w:val="252525"/>
          <w:sz w:val="21"/>
          <w:szCs w:val="21"/>
        </w:rPr>
        <w:t>, no podrán fusionarse con Sociedades Corporativas o de Comandita Simple, pues en las SAC, las acciones de los socios comparten protocolos similares.</w:t>
      </w:r>
    </w:p>
    <w:p w:rsidR="008857A8" w:rsidRDefault="008857A8" w:rsidP="008857A8">
      <w:pPr>
        <w:pStyle w:val="Ttulo2"/>
        <w:pBdr>
          <w:bottom w:val="single" w:sz="6" w:space="0" w:color="AAAAAA"/>
        </w:pBdr>
        <w:shd w:val="clear" w:color="auto" w:fill="FFFFFF"/>
        <w:spacing w:before="240" w:after="60"/>
        <w:rPr>
          <w:rFonts w:ascii="Georgia" w:hAnsi="Georgia" w:cs="Times New Roman"/>
          <w:b w:val="0"/>
          <w:bCs w:val="0"/>
          <w:color w:val="000000"/>
          <w:sz w:val="36"/>
          <w:szCs w:val="36"/>
        </w:rPr>
      </w:pPr>
      <w:r>
        <w:rPr>
          <w:rStyle w:val="mw-headline"/>
          <w:rFonts w:ascii="Georgia" w:hAnsi="Georgia"/>
          <w:b w:val="0"/>
          <w:bCs w:val="0"/>
          <w:color w:val="000000"/>
        </w:rPr>
        <w:t>Disolución y liquidación de las sociedades mercantiles</w:t>
      </w:r>
    </w:p>
    <w:p w:rsidR="008857A8" w:rsidRDefault="008857A8" w:rsidP="008857A8">
      <w:pPr>
        <w:pStyle w:val="Ttulo3"/>
        <w:shd w:val="clear" w:color="auto" w:fill="FFFFFF"/>
        <w:spacing w:before="72" w:beforeAutospacing="0" w:after="0" w:afterAutospacing="0"/>
        <w:rPr>
          <w:rFonts w:ascii="Arial" w:hAnsi="Arial" w:cs="Arial"/>
          <w:color w:val="000000"/>
          <w:sz w:val="28"/>
          <w:szCs w:val="28"/>
        </w:rPr>
      </w:pPr>
      <w:r>
        <w:rPr>
          <w:rStyle w:val="mw-headline"/>
          <w:rFonts w:ascii="Arial" w:hAnsi="Arial" w:cs="Arial"/>
          <w:color w:val="000000"/>
          <w:sz w:val="28"/>
          <w:szCs w:val="28"/>
        </w:rPr>
        <w:t>Disolución</w:t>
      </w:r>
    </w:p>
    <w:p w:rsidR="008857A8" w:rsidRDefault="008857A8" w:rsidP="008857A8">
      <w:pPr>
        <w:pStyle w:val="NormalWeb"/>
        <w:shd w:val="clear" w:color="auto" w:fill="FFFFFF"/>
        <w:spacing w:before="120" w:after="120" w:line="336" w:lineRule="atLeast"/>
        <w:rPr>
          <w:rFonts w:ascii="Arial" w:hAnsi="Arial" w:cs="Arial"/>
          <w:color w:val="252525"/>
          <w:sz w:val="21"/>
          <w:szCs w:val="21"/>
        </w:rPr>
      </w:pPr>
      <w:r>
        <w:rPr>
          <w:rFonts w:ascii="Arial" w:hAnsi="Arial" w:cs="Arial"/>
          <w:color w:val="252525"/>
          <w:sz w:val="21"/>
          <w:szCs w:val="21"/>
        </w:rPr>
        <w:t>La sociedad mercantil será disuelta cuando en presencia de cualquiera de las causas previstas en la ley o en los</w:t>
      </w:r>
      <w:r>
        <w:rPr>
          <w:rStyle w:val="apple-converted-space"/>
          <w:rFonts w:ascii="Arial" w:hAnsi="Arial" w:cs="Arial"/>
          <w:color w:val="252525"/>
          <w:sz w:val="21"/>
          <w:szCs w:val="21"/>
        </w:rPr>
        <w:t> </w:t>
      </w:r>
      <w:hyperlink r:id="rId23" w:tooltip="Estatutos" w:history="1">
        <w:r>
          <w:rPr>
            <w:rStyle w:val="Hipervnculo"/>
            <w:rFonts w:ascii="Arial" w:hAnsi="Arial" w:cs="Arial"/>
            <w:color w:val="0B0080"/>
            <w:sz w:val="21"/>
            <w:szCs w:val="21"/>
          </w:rPr>
          <w:t>estatutos</w:t>
        </w:r>
      </w:hyperlink>
      <w:r>
        <w:rPr>
          <w:rFonts w:ascii="Arial" w:hAnsi="Arial" w:cs="Arial"/>
          <w:color w:val="252525"/>
          <w:sz w:val="21"/>
          <w:szCs w:val="21"/>
        </w:rPr>
        <w:t>, inicie un proceso que culmine con su extinción como ente jurídico, previa</w:t>
      </w:r>
      <w:r>
        <w:rPr>
          <w:rStyle w:val="apple-converted-space"/>
          <w:rFonts w:ascii="Arial" w:hAnsi="Arial" w:cs="Arial"/>
          <w:color w:val="252525"/>
          <w:sz w:val="21"/>
          <w:szCs w:val="21"/>
        </w:rPr>
        <w:t> </w:t>
      </w:r>
      <w:hyperlink r:id="rId24" w:tooltip="Liquidación" w:history="1">
        <w:r>
          <w:rPr>
            <w:rStyle w:val="Hipervnculo"/>
            <w:rFonts w:ascii="Arial" w:hAnsi="Arial" w:cs="Arial"/>
            <w:color w:val="0B0080"/>
            <w:sz w:val="21"/>
            <w:szCs w:val="21"/>
          </w:rPr>
          <w:t>liquidación</w:t>
        </w:r>
      </w:hyperlink>
      <w:r>
        <w:rPr>
          <w:rStyle w:val="apple-converted-space"/>
          <w:rFonts w:ascii="Arial" w:hAnsi="Arial" w:cs="Arial"/>
          <w:color w:val="252525"/>
          <w:sz w:val="21"/>
          <w:szCs w:val="21"/>
        </w:rPr>
        <w:t> </w:t>
      </w:r>
      <w:r>
        <w:rPr>
          <w:rFonts w:ascii="Arial" w:hAnsi="Arial" w:cs="Arial"/>
          <w:color w:val="252525"/>
          <w:sz w:val="21"/>
          <w:szCs w:val="21"/>
        </w:rPr>
        <w:t>que de la misma se realice. Ante tal situación, la sociedad mantiene su personalidad jurídica pero su fin se transforma porque ya no podrá continuar explotando el objeto para el que fue constituida, porque solamente subsistirá para efectos de su</w:t>
      </w:r>
      <w:r>
        <w:rPr>
          <w:rStyle w:val="apple-converted-space"/>
          <w:rFonts w:ascii="Arial" w:hAnsi="Arial" w:cs="Arial"/>
          <w:color w:val="252525"/>
          <w:sz w:val="21"/>
          <w:szCs w:val="21"/>
        </w:rPr>
        <w:t> </w:t>
      </w:r>
      <w:hyperlink r:id="rId25" w:tooltip="Liquidación" w:history="1">
        <w:r>
          <w:rPr>
            <w:rStyle w:val="Hipervnculo"/>
            <w:rFonts w:ascii="Arial" w:hAnsi="Arial" w:cs="Arial"/>
            <w:color w:val="0B0080"/>
            <w:sz w:val="21"/>
            <w:szCs w:val="21"/>
          </w:rPr>
          <w:t>liquidación</w:t>
        </w:r>
      </w:hyperlink>
      <w:r>
        <w:rPr>
          <w:rFonts w:ascii="Arial" w:hAnsi="Arial" w:cs="Arial"/>
          <w:color w:val="252525"/>
          <w:sz w:val="21"/>
          <w:szCs w:val="21"/>
        </w:rPr>
        <w:t>, aunque en diversas ocasiones se dice que la disolución se da por asuntos psicológicos.</w:t>
      </w:r>
    </w:p>
    <w:p w:rsidR="008857A8" w:rsidRDefault="008857A8" w:rsidP="008857A8">
      <w:pPr>
        <w:pStyle w:val="NormalWeb"/>
        <w:shd w:val="clear" w:color="auto" w:fill="FFFFFF"/>
        <w:spacing w:before="120" w:after="120" w:line="336" w:lineRule="atLeast"/>
        <w:rPr>
          <w:rFonts w:ascii="Arial" w:hAnsi="Arial" w:cs="Arial"/>
          <w:color w:val="252525"/>
          <w:sz w:val="21"/>
          <w:szCs w:val="21"/>
        </w:rPr>
      </w:pPr>
      <w:r>
        <w:rPr>
          <w:rFonts w:ascii="Arial" w:hAnsi="Arial" w:cs="Arial"/>
          <w:color w:val="252525"/>
          <w:sz w:val="21"/>
          <w:szCs w:val="21"/>
        </w:rPr>
        <w:t>Al momento de disolver la SAC, los elementos como recursos económicos y/o materiales, quedaran a disposición de jueces estatales para poder brindar seguridad a los trabajadores.</w:t>
      </w:r>
    </w:p>
    <w:p w:rsidR="008857A8" w:rsidRDefault="008857A8" w:rsidP="008857A8">
      <w:pPr>
        <w:pStyle w:val="Ttulo3"/>
        <w:shd w:val="clear" w:color="auto" w:fill="FFFFFF"/>
        <w:spacing w:before="72" w:beforeAutospacing="0" w:after="0" w:afterAutospacing="0"/>
        <w:rPr>
          <w:rFonts w:ascii="Arial" w:hAnsi="Arial" w:cs="Arial"/>
          <w:color w:val="000000"/>
          <w:sz w:val="28"/>
          <w:szCs w:val="28"/>
        </w:rPr>
      </w:pPr>
      <w:r>
        <w:rPr>
          <w:rStyle w:val="mw-headline"/>
          <w:rFonts w:ascii="Arial" w:hAnsi="Arial" w:cs="Arial"/>
          <w:color w:val="000000"/>
          <w:sz w:val="28"/>
          <w:szCs w:val="28"/>
        </w:rPr>
        <w:t>Liquidación</w:t>
      </w:r>
    </w:p>
    <w:p w:rsidR="008857A8" w:rsidRDefault="008857A8" w:rsidP="008857A8">
      <w:pPr>
        <w:pStyle w:val="NormalWeb"/>
        <w:shd w:val="clear" w:color="auto" w:fill="FFFFFF"/>
        <w:spacing w:before="120" w:after="120" w:line="336" w:lineRule="atLeast"/>
        <w:rPr>
          <w:rFonts w:ascii="Arial" w:hAnsi="Arial" w:cs="Arial"/>
          <w:color w:val="252525"/>
          <w:sz w:val="21"/>
          <w:szCs w:val="21"/>
        </w:rPr>
      </w:pPr>
      <w:r>
        <w:rPr>
          <w:rFonts w:ascii="Arial" w:hAnsi="Arial" w:cs="Arial"/>
          <w:color w:val="252525"/>
          <w:sz w:val="21"/>
          <w:szCs w:val="21"/>
        </w:rPr>
        <w:t>La liquidación está constituida por todas las operaciones posteriores a la disolución, que son necesarias y precisas para dar fin a los negocios pendientes, pagar el</w:t>
      </w:r>
      <w:r>
        <w:rPr>
          <w:rStyle w:val="apple-converted-space"/>
          <w:rFonts w:ascii="Arial" w:hAnsi="Arial" w:cs="Arial"/>
          <w:color w:val="252525"/>
          <w:sz w:val="21"/>
          <w:szCs w:val="21"/>
        </w:rPr>
        <w:t> </w:t>
      </w:r>
      <w:hyperlink r:id="rId26" w:tooltip="Pasivo" w:history="1">
        <w:r>
          <w:rPr>
            <w:rStyle w:val="Hipervnculo"/>
            <w:rFonts w:ascii="Arial" w:hAnsi="Arial" w:cs="Arial"/>
            <w:color w:val="0B0080"/>
            <w:sz w:val="21"/>
            <w:szCs w:val="21"/>
          </w:rPr>
          <w:t>pasivo</w:t>
        </w:r>
      </w:hyperlink>
      <w:r>
        <w:rPr>
          <w:rFonts w:ascii="Arial" w:hAnsi="Arial" w:cs="Arial"/>
          <w:color w:val="252525"/>
          <w:sz w:val="21"/>
          <w:szCs w:val="21"/>
        </w:rPr>
        <w:t>, cobrar los</w:t>
      </w:r>
      <w:r>
        <w:rPr>
          <w:rStyle w:val="apple-converted-space"/>
          <w:rFonts w:ascii="Arial" w:hAnsi="Arial" w:cs="Arial"/>
          <w:color w:val="252525"/>
          <w:sz w:val="21"/>
          <w:szCs w:val="21"/>
        </w:rPr>
        <w:t> </w:t>
      </w:r>
      <w:hyperlink r:id="rId27" w:tooltip="Créditos" w:history="1">
        <w:r>
          <w:rPr>
            <w:rStyle w:val="Hipervnculo"/>
            <w:rFonts w:ascii="Arial" w:hAnsi="Arial" w:cs="Arial"/>
            <w:color w:val="0B0080"/>
            <w:sz w:val="21"/>
            <w:szCs w:val="21"/>
          </w:rPr>
          <w:t>créditos</w:t>
        </w:r>
      </w:hyperlink>
      <w:r>
        <w:rPr>
          <w:rStyle w:val="apple-converted-space"/>
          <w:rFonts w:ascii="Arial" w:hAnsi="Arial" w:cs="Arial"/>
          <w:color w:val="252525"/>
          <w:sz w:val="21"/>
          <w:szCs w:val="21"/>
        </w:rPr>
        <w:t> </w:t>
      </w:r>
      <w:r>
        <w:rPr>
          <w:rFonts w:ascii="Arial" w:hAnsi="Arial" w:cs="Arial"/>
          <w:color w:val="252525"/>
          <w:sz w:val="21"/>
          <w:szCs w:val="21"/>
        </w:rPr>
        <w:t>y reducir a dinero todos los</w:t>
      </w:r>
      <w:r>
        <w:rPr>
          <w:rStyle w:val="apple-converted-space"/>
          <w:rFonts w:ascii="Arial" w:hAnsi="Arial" w:cs="Arial"/>
          <w:color w:val="252525"/>
          <w:sz w:val="21"/>
          <w:szCs w:val="21"/>
        </w:rPr>
        <w:t> </w:t>
      </w:r>
      <w:hyperlink r:id="rId28" w:tooltip="Bienes" w:history="1">
        <w:r>
          <w:rPr>
            <w:rStyle w:val="Hipervnculo"/>
            <w:rFonts w:ascii="Arial" w:hAnsi="Arial" w:cs="Arial"/>
            <w:color w:val="0B0080"/>
            <w:sz w:val="21"/>
            <w:szCs w:val="21"/>
          </w:rPr>
          <w:t>bienes</w:t>
        </w:r>
      </w:hyperlink>
      <w:r>
        <w:rPr>
          <w:rStyle w:val="apple-converted-space"/>
          <w:rFonts w:ascii="Arial" w:hAnsi="Arial" w:cs="Arial"/>
          <w:color w:val="252525"/>
          <w:sz w:val="21"/>
          <w:szCs w:val="21"/>
        </w:rPr>
        <w:t> </w:t>
      </w:r>
      <w:r>
        <w:rPr>
          <w:rFonts w:ascii="Arial" w:hAnsi="Arial" w:cs="Arial"/>
          <w:color w:val="252525"/>
          <w:sz w:val="21"/>
          <w:szCs w:val="21"/>
        </w:rPr>
        <w:t>de la sociedad, para repartirlo entre los</w:t>
      </w:r>
      <w:r>
        <w:rPr>
          <w:rStyle w:val="apple-converted-space"/>
          <w:rFonts w:ascii="Arial" w:hAnsi="Arial" w:cs="Arial"/>
          <w:color w:val="252525"/>
          <w:sz w:val="21"/>
          <w:szCs w:val="21"/>
        </w:rPr>
        <w:t> </w:t>
      </w:r>
      <w:hyperlink r:id="rId29" w:tooltip="Socios" w:history="1">
        <w:r>
          <w:rPr>
            <w:rStyle w:val="Hipervnculo"/>
            <w:rFonts w:ascii="Arial" w:hAnsi="Arial" w:cs="Arial"/>
            <w:color w:val="0B0080"/>
            <w:sz w:val="21"/>
            <w:szCs w:val="21"/>
          </w:rPr>
          <w:t>socios</w:t>
        </w:r>
      </w:hyperlink>
      <w:r>
        <w:rPr>
          <w:rFonts w:ascii="Arial" w:hAnsi="Arial" w:cs="Arial"/>
          <w:color w:val="252525"/>
          <w:sz w:val="21"/>
          <w:szCs w:val="21"/>
        </w:rPr>
        <w:t xml:space="preserve">. Esta pues, dura desde que la sociedad se disuelve, hasta que se hace a los socios liquidación y aplicación de los bienes. </w:t>
      </w:r>
      <w:proofErr w:type="gramStart"/>
      <w:r>
        <w:rPr>
          <w:rFonts w:ascii="Arial" w:hAnsi="Arial" w:cs="Arial"/>
          <w:color w:val="252525"/>
          <w:sz w:val="21"/>
          <w:szCs w:val="21"/>
        </w:rPr>
        <w:t>y</w:t>
      </w:r>
      <w:proofErr w:type="gramEnd"/>
      <w:r>
        <w:rPr>
          <w:rFonts w:ascii="Arial" w:hAnsi="Arial" w:cs="Arial"/>
          <w:color w:val="252525"/>
          <w:sz w:val="21"/>
          <w:szCs w:val="21"/>
        </w:rPr>
        <w:t xml:space="preserve"> que con eso concluye la vida de una sociedad.</w:t>
      </w:r>
    </w:p>
    <w:p w:rsidR="008857A8" w:rsidRPr="008857A8" w:rsidRDefault="008857A8" w:rsidP="008857A8">
      <w:pPr>
        <w:shd w:val="clear" w:color="auto" w:fill="FFFFFF"/>
        <w:spacing w:before="100" w:beforeAutospacing="1" w:after="24" w:line="360" w:lineRule="atLeast"/>
        <w:ind w:left="24"/>
        <w:rPr>
          <w:rFonts w:ascii="Arial" w:eastAsia="Times New Roman" w:hAnsi="Arial" w:cs="Arial"/>
          <w:color w:val="252525"/>
          <w:sz w:val="21"/>
          <w:szCs w:val="21"/>
          <w:lang w:eastAsia="es-MX"/>
        </w:rPr>
      </w:pPr>
    </w:p>
    <w:sectPr w:rsidR="008857A8" w:rsidRPr="008857A8" w:rsidSect="006E662E">
      <w:pgSz w:w="12240" w:h="20160" w:code="5"/>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32060"/>
    <w:multiLevelType w:val="multilevel"/>
    <w:tmpl w:val="78E44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5500874"/>
    <w:multiLevelType w:val="multilevel"/>
    <w:tmpl w:val="1B0CE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9C76547"/>
    <w:multiLevelType w:val="multilevel"/>
    <w:tmpl w:val="3D741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D6C4779"/>
    <w:multiLevelType w:val="multilevel"/>
    <w:tmpl w:val="7E805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E61690F"/>
    <w:multiLevelType w:val="multilevel"/>
    <w:tmpl w:val="7C52C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4FA6FF2"/>
    <w:multiLevelType w:val="multilevel"/>
    <w:tmpl w:val="BB041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55F1412"/>
    <w:multiLevelType w:val="multilevel"/>
    <w:tmpl w:val="6C00B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5"/>
  </w:num>
  <w:num w:numId="3">
    <w:abstractNumId w:val="3"/>
  </w:num>
  <w:num w:numId="4">
    <w:abstractNumId w:val="2"/>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E87"/>
    <w:rsid w:val="0000508F"/>
    <w:rsid w:val="00017537"/>
    <w:rsid w:val="00053F7C"/>
    <w:rsid w:val="00080494"/>
    <w:rsid w:val="00111DDD"/>
    <w:rsid w:val="001332BA"/>
    <w:rsid w:val="0016482C"/>
    <w:rsid w:val="001A1758"/>
    <w:rsid w:val="001A191E"/>
    <w:rsid w:val="001C4EE5"/>
    <w:rsid w:val="001D7477"/>
    <w:rsid w:val="001E1CBC"/>
    <w:rsid w:val="002040B8"/>
    <w:rsid w:val="00215D3E"/>
    <w:rsid w:val="00225FB4"/>
    <w:rsid w:val="00230763"/>
    <w:rsid w:val="00233D67"/>
    <w:rsid w:val="00245553"/>
    <w:rsid w:val="0024692C"/>
    <w:rsid w:val="002828D0"/>
    <w:rsid w:val="002E22EB"/>
    <w:rsid w:val="00341EC1"/>
    <w:rsid w:val="0034330B"/>
    <w:rsid w:val="00343B5F"/>
    <w:rsid w:val="003769A7"/>
    <w:rsid w:val="00393DED"/>
    <w:rsid w:val="003A1538"/>
    <w:rsid w:val="003B17F0"/>
    <w:rsid w:val="003D7528"/>
    <w:rsid w:val="003F571E"/>
    <w:rsid w:val="0044307B"/>
    <w:rsid w:val="00451CCB"/>
    <w:rsid w:val="00474704"/>
    <w:rsid w:val="00500D5F"/>
    <w:rsid w:val="005539A1"/>
    <w:rsid w:val="005C7D2A"/>
    <w:rsid w:val="005F0159"/>
    <w:rsid w:val="00642D1F"/>
    <w:rsid w:val="00653D9D"/>
    <w:rsid w:val="00663AF0"/>
    <w:rsid w:val="0068710C"/>
    <w:rsid w:val="00692BCC"/>
    <w:rsid w:val="00695321"/>
    <w:rsid w:val="006A65F3"/>
    <w:rsid w:val="006B541E"/>
    <w:rsid w:val="006C450D"/>
    <w:rsid w:val="006E662E"/>
    <w:rsid w:val="006F1F70"/>
    <w:rsid w:val="0070062E"/>
    <w:rsid w:val="00706973"/>
    <w:rsid w:val="00710B94"/>
    <w:rsid w:val="0073779D"/>
    <w:rsid w:val="00770E7A"/>
    <w:rsid w:val="007A350A"/>
    <w:rsid w:val="007A5B12"/>
    <w:rsid w:val="007D3F57"/>
    <w:rsid w:val="0085176A"/>
    <w:rsid w:val="00863069"/>
    <w:rsid w:val="008857A8"/>
    <w:rsid w:val="00896867"/>
    <w:rsid w:val="008A28EB"/>
    <w:rsid w:val="009509C0"/>
    <w:rsid w:val="00953C36"/>
    <w:rsid w:val="009902C3"/>
    <w:rsid w:val="00A91FC6"/>
    <w:rsid w:val="00A95D26"/>
    <w:rsid w:val="00AB2B12"/>
    <w:rsid w:val="00AC2A38"/>
    <w:rsid w:val="00B2585F"/>
    <w:rsid w:val="00B471C2"/>
    <w:rsid w:val="00B521F3"/>
    <w:rsid w:val="00B55850"/>
    <w:rsid w:val="00BA28FE"/>
    <w:rsid w:val="00BD42C2"/>
    <w:rsid w:val="00CA3990"/>
    <w:rsid w:val="00CC4DAE"/>
    <w:rsid w:val="00D00A21"/>
    <w:rsid w:val="00D3550B"/>
    <w:rsid w:val="00D55345"/>
    <w:rsid w:val="00D9342E"/>
    <w:rsid w:val="00DA4545"/>
    <w:rsid w:val="00DC489A"/>
    <w:rsid w:val="00DE459B"/>
    <w:rsid w:val="00DF0167"/>
    <w:rsid w:val="00E32AAE"/>
    <w:rsid w:val="00E3454F"/>
    <w:rsid w:val="00ED308E"/>
    <w:rsid w:val="00EF363B"/>
    <w:rsid w:val="00F03AEB"/>
    <w:rsid w:val="00F11E87"/>
    <w:rsid w:val="00F26D83"/>
    <w:rsid w:val="00F76C3B"/>
    <w:rsid w:val="00F90A35"/>
    <w:rsid w:val="00F9411B"/>
    <w:rsid w:val="00FD473D"/>
    <w:rsid w:val="00FE2E60"/>
    <w:rsid w:val="00FF002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8857A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ar"/>
    <w:uiPriority w:val="9"/>
    <w:qFormat/>
    <w:rsid w:val="008857A8"/>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FE2E60"/>
    <w:pPr>
      <w:spacing w:after="150" w:line="240" w:lineRule="auto"/>
    </w:pPr>
    <w:rPr>
      <w:rFonts w:ascii="Times New Roman" w:eastAsia="Times New Roman" w:hAnsi="Times New Roman" w:cs="Times New Roman"/>
      <w:color w:val="666666"/>
      <w:sz w:val="24"/>
      <w:szCs w:val="24"/>
      <w:lang w:eastAsia="es-MX"/>
    </w:rPr>
  </w:style>
  <w:style w:type="character" w:customStyle="1" w:styleId="ilad">
    <w:name w:val="il_ad"/>
    <w:basedOn w:val="Fuentedeprrafopredeter"/>
    <w:rsid w:val="00FE2E60"/>
  </w:style>
  <w:style w:type="table" w:styleId="Tablaconcuadrcula">
    <w:name w:val="Table Grid"/>
    <w:basedOn w:val="Tablanormal"/>
    <w:uiPriority w:val="59"/>
    <w:rsid w:val="000804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ennegrita">
    <w:name w:val="Strong"/>
    <w:basedOn w:val="Fuentedeprrafopredeter"/>
    <w:uiPriority w:val="22"/>
    <w:qFormat/>
    <w:rsid w:val="00953C36"/>
    <w:rPr>
      <w:b/>
      <w:bCs/>
    </w:rPr>
  </w:style>
  <w:style w:type="character" w:customStyle="1" w:styleId="apple-converted-space">
    <w:name w:val="apple-converted-space"/>
    <w:basedOn w:val="Fuentedeprrafopredeter"/>
    <w:rsid w:val="008857A8"/>
  </w:style>
  <w:style w:type="character" w:styleId="Hipervnculo">
    <w:name w:val="Hyperlink"/>
    <w:basedOn w:val="Fuentedeprrafopredeter"/>
    <w:uiPriority w:val="99"/>
    <w:semiHidden/>
    <w:unhideWhenUsed/>
    <w:rsid w:val="008857A8"/>
    <w:rPr>
      <w:color w:val="0000FF"/>
      <w:u w:val="single"/>
    </w:rPr>
  </w:style>
  <w:style w:type="character" w:customStyle="1" w:styleId="Ttulo3Car">
    <w:name w:val="Título 3 Car"/>
    <w:basedOn w:val="Fuentedeprrafopredeter"/>
    <w:link w:val="Ttulo3"/>
    <w:uiPriority w:val="9"/>
    <w:rsid w:val="008857A8"/>
    <w:rPr>
      <w:rFonts w:ascii="Times New Roman" w:eastAsia="Times New Roman" w:hAnsi="Times New Roman" w:cs="Times New Roman"/>
      <w:b/>
      <w:bCs/>
      <w:sz w:val="27"/>
      <w:szCs w:val="27"/>
      <w:lang w:eastAsia="es-MX"/>
    </w:rPr>
  </w:style>
  <w:style w:type="character" w:customStyle="1" w:styleId="mw-headline">
    <w:name w:val="mw-headline"/>
    <w:basedOn w:val="Fuentedeprrafopredeter"/>
    <w:rsid w:val="008857A8"/>
  </w:style>
  <w:style w:type="character" w:customStyle="1" w:styleId="mw-editsection">
    <w:name w:val="mw-editsection"/>
    <w:basedOn w:val="Fuentedeprrafopredeter"/>
    <w:rsid w:val="008857A8"/>
  </w:style>
  <w:style w:type="character" w:customStyle="1" w:styleId="mw-editsection-bracket">
    <w:name w:val="mw-editsection-bracket"/>
    <w:basedOn w:val="Fuentedeprrafopredeter"/>
    <w:rsid w:val="008857A8"/>
  </w:style>
  <w:style w:type="character" w:customStyle="1" w:styleId="Ttulo2Car">
    <w:name w:val="Título 2 Car"/>
    <w:basedOn w:val="Fuentedeprrafopredeter"/>
    <w:link w:val="Ttulo2"/>
    <w:uiPriority w:val="9"/>
    <w:semiHidden/>
    <w:rsid w:val="008857A8"/>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8857A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ar"/>
    <w:uiPriority w:val="9"/>
    <w:qFormat/>
    <w:rsid w:val="008857A8"/>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FE2E60"/>
    <w:pPr>
      <w:spacing w:after="150" w:line="240" w:lineRule="auto"/>
    </w:pPr>
    <w:rPr>
      <w:rFonts w:ascii="Times New Roman" w:eastAsia="Times New Roman" w:hAnsi="Times New Roman" w:cs="Times New Roman"/>
      <w:color w:val="666666"/>
      <w:sz w:val="24"/>
      <w:szCs w:val="24"/>
      <w:lang w:eastAsia="es-MX"/>
    </w:rPr>
  </w:style>
  <w:style w:type="character" w:customStyle="1" w:styleId="ilad">
    <w:name w:val="il_ad"/>
    <w:basedOn w:val="Fuentedeprrafopredeter"/>
    <w:rsid w:val="00FE2E60"/>
  </w:style>
  <w:style w:type="table" w:styleId="Tablaconcuadrcula">
    <w:name w:val="Table Grid"/>
    <w:basedOn w:val="Tablanormal"/>
    <w:uiPriority w:val="59"/>
    <w:rsid w:val="000804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ennegrita">
    <w:name w:val="Strong"/>
    <w:basedOn w:val="Fuentedeprrafopredeter"/>
    <w:uiPriority w:val="22"/>
    <w:qFormat/>
    <w:rsid w:val="00953C36"/>
    <w:rPr>
      <w:b/>
      <w:bCs/>
    </w:rPr>
  </w:style>
  <w:style w:type="character" w:customStyle="1" w:styleId="apple-converted-space">
    <w:name w:val="apple-converted-space"/>
    <w:basedOn w:val="Fuentedeprrafopredeter"/>
    <w:rsid w:val="008857A8"/>
  </w:style>
  <w:style w:type="character" w:styleId="Hipervnculo">
    <w:name w:val="Hyperlink"/>
    <w:basedOn w:val="Fuentedeprrafopredeter"/>
    <w:uiPriority w:val="99"/>
    <w:semiHidden/>
    <w:unhideWhenUsed/>
    <w:rsid w:val="008857A8"/>
    <w:rPr>
      <w:color w:val="0000FF"/>
      <w:u w:val="single"/>
    </w:rPr>
  </w:style>
  <w:style w:type="character" w:customStyle="1" w:styleId="Ttulo3Car">
    <w:name w:val="Título 3 Car"/>
    <w:basedOn w:val="Fuentedeprrafopredeter"/>
    <w:link w:val="Ttulo3"/>
    <w:uiPriority w:val="9"/>
    <w:rsid w:val="008857A8"/>
    <w:rPr>
      <w:rFonts w:ascii="Times New Roman" w:eastAsia="Times New Roman" w:hAnsi="Times New Roman" w:cs="Times New Roman"/>
      <w:b/>
      <w:bCs/>
      <w:sz w:val="27"/>
      <w:szCs w:val="27"/>
      <w:lang w:eastAsia="es-MX"/>
    </w:rPr>
  </w:style>
  <w:style w:type="character" w:customStyle="1" w:styleId="mw-headline">
    <w:name w:val="mw-headline"/>
    <w:basedOn w:val="Fuentedeprrafopredeter"/>
    <w:rsid w:val="008857A8"/>
  </w:style>
  <w:style w:type="character" w:customStyle="1" w:styleId="mw-editsection">
    <w:name w:val="mw-editsection"/>
    <w:basedOn w:val="Fuentedeprrafopredeter"/>
    <w:rsid w:val="008857A8"/>
  </w:style>
  <w:style w:type="character" w:customStyle="1" w:styleId="mw-editsection-bracket">
    <w:name w:val="mw-editsection-bracket"/>
    <w:basedOn w:val="Fuentedeprrafopredeter"/>
    <w:rsid w:val="008857A8"/>
  </w:style>
  <w:style w:type="character" w:customStyle="1" w:styleId="Ttulo2Car">
    <w:name w:val="Título 2 Car"/>
    <w:basedOn w:val="Fuentedeprrafopredeter"/>
    <w:link w:val="Ttulo2"/>
    <w:uiPriority w:val="9"/>
    <w:semiHidden/>
    <w:rsid w:val="008857A8"/>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64447">
      <w:bodyDiv w:val="1"/>
      <w:marLeft w:val="0"/>
      <w:marRight w:val="0"/>
      <w:marTop w:val="0"/>
      <w:marBottom w:val="0"/>
      <w:divBdr>
        <w:top w:val="none" w:sz="0" w:space="0" w:color="auto"/>
        <w:left w:val="none" w:sz="0" w:space="0" w:color="auto"/>
        <w:bottom w:val="none" w:sz="0" w:space="0" w:color="auto"/>
        <w:right w:val="none" w:sz="0" w:space="0" w:color="auto"/>
      </w:divBdr>
    </w:div>
    <w:div w:id="313409105">
      <w:bodyDiv w:val="1"/>
      <w:marLeft w:val="0"/>
      <w:marRight w:val="0"/>
      <w:marTop w:val="0"/>
      <w:marBottom w:val="0"/>
      <w:divBdr>
        <w:top w:val="none" w:sz="0" w:space="0" w:color="auto"/>
        <w:left w:val="none" w:sz="0" w:space="0" w:color="auto"/>
        <w:bottom w:val="none" w:sz="0" w:space="0" w:color="auto"/>
        <w:right w:val="none" w:sz="0" w:space="0" w:color="auto"/>
      </w:divBdr>
      <w:divsChild>
        <w:div w:id="1632664325">
          <w:marLeft w:val="0"/>
          <w:marRight w:val="0"/>
          <w:marTop w:val="0"/>
          <w:marBottom w:val="0"/>
          <w:divBdr>
            <w:top w:val="none" w:sz="0" w:space="0" w:color="auto"/>
            <w:left w:val="none" w:sz="0" w:space="0" w:color="auto"/>
            <w:bottom w:val="none" w:sz="0" w:space="0" w:color="auto"/>
            <w:right w:val="none" w:sz="0" w:space="0" w:color="auto"/>
          </w:divBdr>
          <w:divsChild>
            <w:div w:id="2123067422">
              <w:marLeft w:val="0"/>
              <w:marRight w:val="0"/>
              <w:marTop w:val="0"/>
              <w:marBottom w:val="0"/>
              <w:divBdr>
                <w:top w:val="none" w:sz="0" w:space="0" w:color="auto"/>
                <w:left w:val="none" w:sz="0" w:space="0" w:color="auto"/>
                <w:bottom w:val="none" w:sz="0" w:space="0" w:color="auto"/>
                <w:right w:val="none" w:sz="0" w:space="0" w:color="auto"/>
              </w:divBdr>
              <w:divsChild>
                <w:div w:id="931086440">
                  <w:marLeft w:val="-1694"/>
                  <w:marRight w:val="0"/>
                  <w:marTop w:val="0"/>
                  <w:marBottom w:val="0"/>
                  <w:divBdr>
                    <w:top w:val="none" w:sz="0" w:space="0" w:color="auto"/>
                    <w:left w:val="none" w:sz="0" w:space="0" w:color="auto"/>
                    <w:bottom w:val="none" w:sz="0" w:space="0" w:color="auto"/>
                    <w:right w:val="none" w:sz="0" w:space="0" w:color="auto"/>
                  </w:divBdr>
                  <w:divsChild>
                    <w:div w:id="1771966033">
                      <w:marLeft w:val="0"/>
                      <w:marRight w:val="0"/>
                      <w:marTop w:val="0"/>
                      <w:marBottom w:val="0"/>
                      <w:divBdr>
                        <w:top w:val="none" w:sz="0" w:space="0" w:color="auto"/>
                        <w:left w:val="none" w:sz="0" w:space="0" w:color="auto"/>
                        <w:bottom w:val="none" w:sz="0" w:space="0" w:color="auto"/>
                        <w:right w:val="none" w:sz="0" w:space="0" w:color="auto"/>
                      </w:divBdr>
                      <w:divsChild>
                        <w:div w:id="986595932">
                          <w:marLeft w:val="0"/>
                          <w:marRight w:val="0"/>
                          <w:marTop w:val="0"/>
                          <w:marBottom w:val="1271"/>
                          <w:divBdr>
                            <w:top w:val="single" w:sz="36" w:space="21" w:color="CCCCCC"/>
                            <w:left w:val="single" w:sz="36" w:space="31" w:color="CCCCCC"/>
                            <w:bottom w:val="single" w:sz="36" w:space="31" w:color="CCCCCC"/>
                            <w:right w:val="single" w:sz="36" w:space="31" w:color="CCCCCC"/>
                          </w:divBdr>
                          <w:divsChild>
                            <w:div w:id="846019823">
                              <w:marLeft w:val="-1271"/>
                              <w:marRight w:val="-1271"/>
                              <w:marTop w:val="0"/>
                              <w:marBottom w:val="0"/>
                              <w:divBdr>
                                <w:top w:val="none" w:sz="0" w:space="0" w:color="auto"/>
                                <w:left w:val="none" w:sz="0" w:space="0" w:color="auto"/>
                                <w:bottom w:val="none" w:sz="0" w:space="0" w:color="auto"/>
                                <w:right w:val="none" w:sz="0" w:space="0" w:color="auto"/>
                              </w:divBdr>
                              <w:divsChild>
                                <w:div w:id="163672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4796381">
      <w:bodyDiv w:val="1"/>
      <w:marLeft w:val="0"/>
      <w:marRight w:val="0"/>
      <w:marTop w:val="0"/>
      <w:marBottom w:val="0"/>
      <w:divBdr>
        <w:top w:val="none" w:sz="0" w:space="0" w:color="auto"/>
        <w:left w:val="none" w:sz="0" w:space="0" w:color="auto"/>
        <w:bottom w:val="none" w:sz="0" w:space="0" w:color="auto"/>
        <w:right w:val="none" w:sz="0" w:space="0" w:color="auto"/>
      </w:divBdr>
      <w:divsChild>
        <w:div w:id="1119882662">
          <w:marLeft w:val="0"/>
          <w:marRight w:val="0"/>
          <w:marTop w:val="0"/>
          <w:marBottom w:val="0"/>
          <w:divBdr>
            <w:top w:val="none" w:sz="0" w:space="0" w:color="auto"/>
            <w:left w:val="none" w:sz="0" w:space="0" w:color="auto"/>
            <w:bottom w:val="none" w:sz="0" w:space="0" w:color="auto"/>
            <w:right w:val="none" w:sz="0" w:space="0" w:color="auto"/>
          </w:divBdr>
          <w:divsChild>
            <w:div w:id="894315461">
              <w:marLeft w:val="0"/>
              <w:marRight w:val="0"/>
              <w:marTop w:val="0"/>
              <w:marBottom w:val="0"/>
              <w:divBdr>
                <w:top w:val="none" w:sz="0" w:space="0" w:color="auto"/>
                <w:left w:val="none" w:sz="0" w:space="0" w:color="auto"/>
                <w:bottom w:val="none" w:sz="0" w:space="0" w:color="auto"/>
                <w:right w:val="none" w:sz="0" w:space="0" w:color="auto"/>
              </w:divBdr>
              <w:divsChild>
                <w:div w:id="649137454">
                  <w:marLeft w:val="-300"/>
                  <w:marRight w:val="0"/>
                  <w:marTop w:val="0"/>
                  <w:marBottom w:val="0"/>
                  <w:divBdr>
                    <w:top w:val="none" w:sz="0" w:space="0" w:color="auto"/>
                    <w:left w:val="none" w:sz="0" w:space="0" w:color="auto"/>
                    <w:bottom w:val="none" w:sz="0" w:space="0" w:color="auto"/>
                    <w:right w:val="none" w:sz="0" w:space="0" w:color="auto"/>
                  </w:divBdr>
                  <w:divsChild>
                    <w:div w:id="271060233">
                      <w:marLeft w:val="0"/>
                      <w:marRight w:val="0"/>
                      <w:marTop w:val="0"/>
                      <w:marBottom w:val="0"/>
                      <w:divBdr>
                        <w:top w:val="none" w:sz="0" w:space="0" w:color="auto"/>
                        <w:left w:val="none" w:sz="0" w:space="0" w:color="auto"/>
                        <w:bottom w:val="none" w:sz="0" w:space="0" w:color="auto"/>
                        <w:right w:val="none" w:sz="0" w:space="0" w:color="auto"/>
                      </w:divBdr>
                      <w:divsChild>
                        <w:div w:id="1453863783">
                          <w:marLeft w:val="0"/>
                          <w:marRight w:val="0"/>
                          <w:marTop w:val="0"/>
                          <w:marBottom w:val="225"/>
                          <w:divBdr>
                            <w:top w:val="single" w:sz="6" w:space="4" w:color="CCCCCC"/>
                            <w:left w:val="single" w:sz="6" w:space="11" w:color="CCCCCC"/>
                            <w:bottom w:val="single" w:sz="6" w:space="11" w:color="CCCCCC"/>
                            <w:right w:val="single" w:sz="6" w:space="11" w:color="CCCCCC"/>
                          </w:divBdr>
                          <w:divsChild>
                            <w:div w:id="1569924434">
                              <w:marLeft w:val="-225"/>
                              <w:marRight w:val="-225"/>
                              <w:marTop w:val="0"/>
                              <w:marBottom w:val="0"/>
                              <w:divBdr>
                                <w:top w:val="none" w:sz="0" w:space="0" w:color="auto"/>
                                <w:left w:val="none" w:sz="0" w:space="0" w:color="auto"/>
                                <w:bottom w:val="none" w:sz="0" w:space="0" w:color="auto"/>
                                <w:right w:val="none" w:sz="0" w:space="0" w:color="auto"/>
                              </w:divBdr>
                              <w:divsChild>
                                <w:div w:id="165336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0667028">
      <w:bodyDiv w:val="1"/>
      <w:marLeft w:val="0"/>
      <w:marRight w:val="0"/>
      <w:marTop w:val="0"/>
      <w:marBottom w:val="0"/>
      <w:divBdr>
        <w:top w:val="none" w:sz="0" w:space="0" w:color="auto"/>
        <w:left w:val="none" w:sz="0" w:space="0" w:color="auto"/>
        <w:bottom w:val="none" w:sz="0" w:space="0" w:color="auto"/>
        <w:right w:val="none" w:sz="0" w:space="0" w:color="auto"/>
      </w:divBdr>
    </w:div>
    <w:div w:id="1347899025">
      <w:bodyDiv w:val="1"/>
      <w:marLeft w:val="0"/>
      <w:marRight w:val="0"/>
      <w:marTop w:val="0"/>
      <w:marBottom w:val="0"/>
      <w:divBdr>
        <w:top w:val="none" w:sz="0" w:space="0" w:color="auto"/>
        <w:left w:val="none" w:sz="0" w:space="0" w:color="auto"/>
        <w:bottom w:val="none" w:sz="0" w:space="0" w:color="auto"/>
        <w:right w:val="none" w:sz="0" w:space="0" w:color="auto"/>
      </w:divBdr>
    </w:div>
    <w:div w:id="1820806830">
      <w:bodyDiv w:val="1"/>
      <w:marLeft w:val="0"/>
      <w:marRight w:val="0"/>
      <w:marTop w:val="0"/>
      <w:marBottom w:val="0"/>
      <w:divBdr>
        <w:top w:val="none" w:sz="0" w:space="0" w:color="auto"/>
        <w:left w:val="none" w:sz="0" w:space="0" w:color="auto"/>
        <w:bottom w:val="none" w:sz="0" w:space="0" w:color="auto"/>
        <w:right w:val="none" w:sz="0" w:space="0" w:color="auto"/>
      </w:divBdr>
    </w:div>
    <w:div w:id="1853757562">
      <w:bodyDiv w:val="1"/>
      <w:marLeft w:val="0"/>
      <w:marRight w:val="0"/>
      <w:marTop w:val="0"/>
      <w:marBottom w:val="0"/>
      <w:divBdr>
        <w:top w:val="none" w:sz="0" w:space="0" w:color="auto"/>
        <w:left w:val="none" w:sz="0" w:space="0" w:color="auto"/>
        <w:bottom w:val="none" w:sz="0" w:space="0" w:color="auto"/>
        <w:right w:val="none" w:sz="0" w:space="0" w:color="auto"/>
      </w:divBdr>
    </w:div>
    <w:div w:id="1960332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Derecho_comercial" TargetMode="External"/><Relationship Id="rId13" Type="http://schemas.openxmlformats.org/officeDocument/2006/relationships/hyperlink" Target="http://es.wikipedia.org/wiki/Sociedad_mercantil" TargetMode="External"/><Relationship Id="rId18" Type="http://schemas.openxmlformats.org/officeDocument/2006/relationships/hyperlink" Target="http://es.wikipedia.org/wiki/Consejo_de_administraci%C3%B3n" TargetMode="External"/><Relationship Id="rId26" Type="http://schemas.openxmlformats.org/officeDocument/2006/relationships/hyperlink" Target="http://es.wikipedia.org/wiki/Pasivo" TargetMode="External"/><Relationship Id="rId3" Type="http://schemas.microsoft.com/office/2007/relationships/stylesWithEffects" Target="stylesWithEffects.xml"/><Relationship Id="rId21" Type="http://schemas.openxmlformats.org/officeDocument/2006/relationships/hyperlink" Target="http://es.wikipedia.org/wiki/Auditor%C3%ADa" TargetMode="External"/><Relationship Id="rId7" Type="http://schemas.openxmlformats.org/officeDocument/2006/relationships/hyperlink" Target="http://es.wikipedia.org/wiki/Actos_de_comercio" TargetMode="External"/><Relationship Id="rId12" Type="http://schemas.openxmlformats.org/officeDocument/2006/relationships/hyperlink" Target="http://es.wikipedia.org/wiki/Sociedad_civil_(Derecho)" TargetMode="External"/><Relationship Id="rId17" Type="http://schemas.openxmlformats.org/officeDocument/2006/relationships/hyperlink" Target="http://es.wikipedia.org/wiki/Sociedad_limitada" TargetMode="External"/><Relationship Id="rId25" Type="http://schemas.openxmlformats.org/officeDocument/2006/relationships/hyperlink" Target="http://es.wikipedia.org/wiki/Liquidaci%C3%B3n" TargetMode="External"/><Relationship Id="rId2" Type="http://schemas.openxmlformats.org/officeDocument/2006/relationships/styles" Target="styles.xml"/><Relationship Id="rId16" Type="http://schemas.openxmlformats.org/officeDocument/2006/relationships/hyperlink" Target="http://es.wikipedia.org/wiki/Sociedad_colectiva" TargetMode="External"/><Relationship Id="rId20" Type="http://schemas.openxmlformats.org/officeDocument/2006/relationships/hyperlink" Target="http://es.wikipedia.org/wiki/Gerencia" TargetMode="External"/><Relationship Id="rId29" Type="http://schemas.openxmlformats.org/officeDocument/2006/relationships/hyperlink" Target="http://es.wikipedia.org/wiki/Socios" TargetMode="External"/><Relationship Id="rId1" Type="http://schemas.openxmlformats.org/officeDocument/2006/relationships/numbering" Target="numbering.xml"/><Relationship Id="rId6" Type="http://schemas.openxmlformats.org/officeDocument/2006/relationships/hyperlink" Target="http://es.wikipedia.org/wiki/Persona_jur%C3%ADdica" TargetMode="External"/><Relationship Id="rId11" Type="http://schemas.openxmlformats.org/officeDocument/2006/relationships/hyperlink" Target="http://es.wikipedia.org/wiki/Personer%C3%ADa_jur%C3%ADdica" TargetMode="External"/><Relationship Id="rId24" Type="http://schemas.openxmlformats.org/officeDocument/2006/relationships/hyperlink" Target="http://es.wikipedia.org/wiki/Liquidaci%C3%B3n" TargetMode="External"/><Relationship Id="rId5" Type="http://schemas.openxmlformats.org/officeDocument/2006/relationships/webSettings" Target="webSettings.xml"/><Relationship Id="rId15" Type="http://schemas.openxmlformats.org/officeDocument/2006/relationships/hyperlink" Target="http://es.wikipedia.org/wiki/Sociedad_an%C3%B3nima" TargetMode="External"/><Relationship Id="rId23" Type="http://schemas.openxmlformats.org/officeDocument/2006/relationships/hyperlink" Target="http://es.wikipedia.org/wiki/Estatutos" TargetMode="External"/><Relationship Id="rId28" Type="http://schemas.openxmlformats.org/officeDocument/2006/relationships/hyperlink" Target="http://es.wikipedia.org/wiki/Bienes" TargetMode="External"/><Relationship Id="rId10" Type="http://schemas.openxmlformats.org/officeDocument/2006/relationships/hyperlink" Target="http://es.wikipedia.org/wiki/Contrato_de_sociedad" TargetMode="External"/><Relationship Id="rId19" Type="http://schemas.openxmlformats.org/officeDocument/2006/relationships/hyperlink" Target="http://es.wikipedia.org/wiki/Junta_de_Accionista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s.wikipedia.org/wiki/Persona_fisica" TargetMode="External"/><Relationship Id="rId14" Type="http://schemas.openxmlformats.org/officeDocument/2006/relationships/hyperlink" Target="http://es.wikipedia.org/wiki/Empresa" TargetMode="External"/><Relationship Id="rId22" Type="http://schemas.openxmlformats.org/officeDocument/2006/relationships/hyperlink" Target="http://es.wikipedia.org/wiki/Sociedad_An%C3%B3nima" TargetMode="External"/><Relationship Id="rId27" Type="http://schemas.openxmlformats.org/officeDocument/2006/relationships/hyperlink" Target="http://es.wikipedia.org/wiki/Cr%C3%A9ditos" TargetMode="External"/><Relationship Id="rId30"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1598</Words>
  <Characters>8795</Characters>
  <Application>Microsoft Office Word</Application>
  <DocSecurity>4</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Ileana</dc:creator>
  <cp:lastModifiedBy>ILEANA</cp:lastModifiedBy>
  <cp:revision>2</cp:revision>
  <dcterms:created xsi:type="dcterms:W3CDTF">2014-12-06T00:05:00Z</dcterms:created>
  <dcterms:modified xsi:type="dcterms:W3CDTF">2014-12-06T00:05:00Z</dcterms:modified>
</cp:coreProperties>
</file>