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1EE" w:rsidRPr="00CE31EE" w:rsidRDefault="00CE31EE" w:rsidP="00CE31EE">
      <w:pPr>
        <w:spacing w:after="0"/>
        <w:jc w:val="both"/>
        <w:rPr>
          <w:sz w:val="28"/>
          <w:szCs w:val="28"/>
        </w:rPr>
      </w:pPr>
    </w:p>
    <w:p w:rsidR="004C7CEB" w:rsidRPr="004C7CEB" w:rsidRDefault="004C7CEB" w:rsidP="004C7CEB">
      <w:pPr>
        <w:pStyle w:val="Ttulo"/>
      </w:pPr>
      <w:r w:rsidRPr="004C7CEB">
        <w:t>Justicia de Ventanilla</w:t>
      </w:r>
    </w:p>
    <w:p w:rsidR="004C7CEB" w:rsidRPr="004C7CEB" w:rsidRDefault="004C7CEB" w:rsidP="004C7CEB">
      <w:pPr>
        <w:spacing w:after="0"/>
        <w:jc w:val="both"/>
        <w:rPr>
          <w:sz w:val="28"/>
          <w:szCs w:val="28"/>
        </w:rPr>
      </w:pPr>
      <w:r w:rsidRPr="004C7CEB">
        <w:rPr>
          <w:sz w:val="28"/>
          <w:szCs w:val="28"/>
        </w:rPr>
        <w:t>Es un instrumento de defensa fiscal, que permite al contribuyente realizar aclaraciones dentro de un plazo de seis días hábiles siguientes a aquel e que surta efectos la</w:t>
      </w:r>
      <w:r>
        <w:rPr>
          <w:sz w:val="28"/>
          <w:szCs w:val="28"/>
        </w:rPr>
        <w:t xml:space="preserve"> </w:t>
      </w:r>
      <w:r w:rsidRPr="004C7CEB">
        <w:rPr>
          <w:sz w:val="28"/>
          <w:szCs w:val="28"/>
        </w:rPr>
        <w:t>notificación de las resoluciones de la autoridad, la llamada justicia de ventanilla.</w:t>
      </w:r>
    </w:p>
    <w:p w:rsidR="004C7CEB" w:rsidRPr="004C7CEB" w:rsidRDefault="004C7CEB" w:rsidP="004C7CEB">
      <w:pPr>
        <w:spacing w:after="0"/>
        <w:jc w:val="both"/>
        <w:rPr>
          <w:sz w:val="28"/>
          <w:szCs w:val="28"/>
        </w:rPr>
      </w:pPr>
      <w:r w:rsidRPr="004C7CEB">
        <w:rPr>
          <w:sz w:val="28"/>
          <w:szCs w:val="28"/>
        </w:rPr>
        <w:t>Es opcional y se aconseja interponerla en problemas sencillos, ya que en asuntos complejos lo que procede es</w:t>
      </w:r>
      <w:r>
        <w:rPr>
          <w:sz w:val="28"/>
          <w:szCs w:val="28"/>
        </w:rPr>
        <w:t xml:space="preserve"> </w:t>
      </w:r>
      <w:r w:rsidRPr="004C7CEB">
        <w:rPr>
          <w:sz w:val="28"/>
          <w:szCs w:val="28"/>
        </w:rPr>
        <w:t>el recurso de revocación, amparo o de nulidad.</w:t>
      </w:r>
    </w:p>
    <w:p w:rsidR="004C7CEB" w:rsidRPr="004C7CEB" w:rsidRDefault="004C7CEB" w:rsidP="004C7CEB">
      <w:pPr>
        <w:spacing w:after="0"/>
        <w:jc w:val="both"/>
        <w:rPr>
          <w:sz w:val="28"/>
          <w:szCs w:val="28"/>
        </w:rPr>
      </w:pPr>
      <w:r w:rsidRPr="004C7CEB">
        <w:rPr>
          <w:sz w:val="28"/>
          <w:szCs w:val="28"/>
        </w:rPr>
        <w:t>La justicia de ventanilla de acuerdo al artículo 33-A del Código Fiscal de la Federación, se refiere a un procedimiento simple y sencillo mediante el</w:t>
      </w:r>
      <w:r>
        <w:rPr>
          <w:sz w:val="28"/>
          <w:szCs w:val="28"/>
        </w:rPr>
        <w:t xml:space="preserve"> </w:t>
      </w:r>
      <w:r w:rsidRPr="004C7CEB">
        <w:rPr>
          <w:sz w:val="28"/>
          <w:szCs w:val="28"/>
        </w:rPr>
        <w:t>cual es posible impugnar ciertas determinaciones de la autoridad Hacendaria.</w:t>
      </w:r>
    </w:p>
    <w:p w:rsidR="004C7CEB" w:rsidRPr="004C7CEB" w:rsidRDefault="004C7CEB" w:rsidP="004C7CEB">
      <w:pPr>
        <w:spacing w:after="0"/>
        <w:jc w:val="both"/>
        <w:rPr>
          <w:sz w:val="28"/>
          <w:szCs w:val="28"/>
        </w:rPr>
      </w:pPr>
      <w:r w:rsidRPr="004C7CEB">
        <w:rPr>
          <w:sz w:val="28"/>
          <w:szCs w:val="28"/>
        </w:rPr>
        <w:t>Artículo 33-A.- Los particulares podrán acudir ante las autoridades fiscales dentro de un plazo de seis días siguientes</w:t>
      </w:r>
      <w:r>
        <w:rPr>
          <w:sz w:val="28"/>
          <w:szCs w:val="28"/>
        </w:rPr>
        <w:t xml:space="preserve"> </w:t>
      </w:r>
      <w:r w:rsidRPr="004C7CEB">
        <w:rPr>
          <w:sz w:val="28"/>
          <w:szCs w:val="28"/>
        </w:rPr>
        <w:t>a aquél en que haya surtido efectos la notificación de las resoluciones a que se refieren los artículos 41, fracciones I y III, 78, 79 y 81, fracciones I, II y VI de este Código, así como en los casos</w:t>
      </w:r>
      <w:r>
        <w:rPr>
          <w:sz w:val="28"/>
          <w:szCs w:val="28"/>
        </w:rPr>
        <w:t xml:space="preserve"> </w:t>
      </w:r>
      <w:r w:rsidRPr="004C7CEB">
        <w:rPr>
          <w:sz w:val="28"/>
          <w:szCs w:val="28"/>
        </w:rPr>
        <w:t>en que la autoridad fiscal determine mediante reglas de carácter general, a efecto de hacer las aclaraciones que consideren pertinentes, debiendo la autoridad, resolver en un plazo de seis días</w:t>
      </w:r>
      <w:r>
        <w:rPr>
          <w:sz w:val="28"/>
          <w:szCs w:val="28"/>
        </w:rPr>
        <w:t xml:space="preserve"> </w:t>
      </w:r>
      <w:r w:rsidRPr="004C7CEB">
        <w:rPr>
          <w:sz w:val="28"/>
          <w:szCs w:val="28"/>
        </w:rPr>
        <w:t>contados a partir de que quede debidamente integrado el expediente mediante el procedimiento previsto en las citadas reglas.</w:t>
      </w:r>
    </w:p>
    <w:p w:rsidR="004C7CEB" w:rsidRPr="004C7CEB" w:rsidRDefault="004C7CEB" w:rsidP="004C7CEB">
      <w:pPr>
        <w:spacing w:after="0"/>
        <w:jc w:val="both"/>
        <w:rPr>
          <w:sz w:val="28"/>
          <w:szCs w:val="28"/>
        </w:rPr>
      </w:pPr>
      <w:r w:rsidRPr="004C7CEB">
        <w:rPr>
          <w:sz w:val="28"/>
          <w:szCs w:val="28"/>
        </w:rPr>
        <w:t>Lo previsto en este artículo no constituye instancia, ni interrumpe ni suspende</w:t>
      </w:r>
      <w:r>
        <w:rPr>
          <w:sz w:val="28"/>
          <w:szCs w:val="28"/>
        </w:rPr>
        <w:t xml:space="preserve"> </w:t>
      </w:r>
      <w:r w:rsidRPr="004C7CEB">
        <w:rPr>
          <w:sz w:val="28"/>
          <w:szCs w:val="28"/>
        </w:rPr>
        <w:t>los plazos para que los particulares puedan interponer los medios de defensa. Las resoluciones que se emitan por la autoridad fiscal no podrán ser impugnadas por los particulares.</w:t>
      </w:r>
    </w:p>
    <w:p w:rsidR="004C7CEB" w:rsidRPr="004C7CEB" w:rsidRDefault="004C7CEB" w:rsidP="004C7CEB">
      <w:pPr>
        <w:spacing w:after="0"/>
        <w:jc w:val="both"/>
        <w:rPr>
          <w:sz w:val="28"/>
          <w:szCs w:val="28"/>
        </w:rPr>
      </w:pPr>
      <w:r w:rsidRPr="004C7CEB">
        <w:rPr>
          <w:sz w:val="28"/>
          <w:szCs w:val="28"/>
        </w:rPr>
        <w:t>Consiste en</w:t>
      </w:r>
      <w:r>
        <w:rPr>
          <w:sz w:val="28"/>
          <w:szCs w:val="28"/>
        </w:rPr>
        <w:t xml:space="preserve"> </w:t>
      </w:r>
      <w:r w:rsidRPr="004C7CEB">
        <w:rPr>
          <w:sz w:val="28"/>
          <w:szCs w:val="28"/>
        </w:rPr>
        <w:t>agilizar el trámite para cancelar posibles multas derivadas de las declaraciones, omisiones de contribuciones por errores aritméticos, y del Registro Federal de Contribuyentes.</w:t>
      </w:r>
    </w:p>
    <w:p w:rsidR="00CE31EE" w:rsidRDefault="004C7CEB" w:rsidP="004C7CEB">
      <w:pPr>
        <w:spacing w:after="0"/>
        <w:jc w:val="both"/>
        <w:rPr>
          <w:sz w:val="28"/>
          <w:szCs w:val="28"/>
        </w:rPr>
      </w:pPr>
      <w:r w:rsidRPr="004C7CEB">
        <w:rPr>
          <w:sz w:val="28"/>
          <w:szCs w:val="28"/>
        </w:rPr>
        <w:t>El trámite comienza con</w:t>
      </w:r>
      <w:r>
        <w:rPr>
          <w:sz w:val="28"/>
          <w:szCs w:val="28"/>
        </w:rPr>
        <w:t xml:space="preserve"> </w:t>
      </w:r>
      <w:r w:rsidRPr="004C7CEB">
        <w:rPr>
          <w:sz w:val="28"/>
          <w:szCs w:val="28"/>
        </w:rPr>
        <w:t>las aclaraciones que son presentadas por el contrib</w:t>
      </w:r>
      <w:r>
        <w:rPr>
          <w:sz w:val="28"/>
          <w:szCs w:val="28"/>
        </w:rPr>
        <w:t xml:space="preserve">uyente </w:t>
      </w:r>
      <w:r w:rsidRPr="004C7CEB">
        <w:rPr>
          <w:sz w:val="28"/>
          <w:szCs w:val="28"/>
        </w:rPr>
        <w:t xml:space="preserve"> ante la Administración Local de Recaudación, dentro del plazo de seis días siguientes a aquél en que la notificación de la resolución qu</w:t>
      </w:r>
      <w:r>
        <w:rPr>
          <w:sz w:val="28"/>
          <w:szCs w:val="28"/>
        </w:rPr>
        <w:t>e causa la molestia al particular causa efectos.</w:t>
      </w:r>
    </w:p>
    <w:p w:rsidR="004C7CEB" w:rsidRDefault="004C7CEB" w:rsidP="004C7CE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El tipo de actos a recurrir a través de la justicia de ventanilla específicamente lo señala el código tributario y puede ser o no de los considerados como definitivos.</w:t>
      </w:r>
    </w:p>
    <w:p w:rsidR="00CE31EE" w:rsidRDefault="004C7CEB" w:rsidP="00CE31E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El acto recurrido por la justicia de ventanilla puede ser materia de impugnación a través de los medios de defensa establecidos en la ley, entendiéndose por éstos en estricto derecho, los propiamente establecidos por la ley para tales efectos.</w:t>
      </w:r>
    </w:p>
    <w:p w:rsidR="004C7CEB" w:rsidRDefault="004C7CEB" w:rsidP="00CE31E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Este escrito no interrumpe ni suspende los términos para interponer Recurso de Revocación o Juicio de Nulidad, por lo que se deberá tener cuidado de que no </w:t>
      </w:r>
      <w:proofErr w:type="spellStart"/>
      <w:r>
        <w:rPr>
          <w:sz w:val="28"/>
          <w:szCs w:val="28"/>
        </w:rPr>
        <w:t>precluyan</w:t>
      </w:r>
      <w:proofErr w:type="spellEnd"/>
      <w:r>
        <w:rPr>
          <w:sz w:val="28"/>
          <w:szCs w:val="28"/>
        </w:rPr>
        <w:t xml:space="preserve"> los plazos para su interposición. </w:t>
      </w:r>
    </w:p>
    <w:p w:rsidR="007F2FAA" w:rsidRDefault="007F2FAA" w:rsidP="007F2FAA">
      <w:pPr>
        <w:pStyle w:val="NormalWeb"/>
        <w:spacing w:before="120" w:beforeAutospacing="0" w:after="120" w:afterAutospacing="0" w:line="302" w:lineRule="atLeast"/>
        <w:rPr>
          <w:rFonts w:ascii="Arial" w:hAnsi="Arial" w:cs="Arial"/>
          <w:color w:val="252525"/>
          <w:sz w:val="20"/>
          <w:szCs w:val="20"/>
        </w:rPr>
      </w:pPr>
      <w:r>
        <w:rPr>
          <w:rFonts w:ascii="Arial" w:hAnsi="Arial" w:cs="Arial"/>
          <w:color w:val="252525"/>
          <w:sz w:val="20"/>
          <w:szCs w:val="20"/>
        </w:rPr>
        <w:t>PRECLUSIÓN. ES UNA FIGURA JURÍDICA QUE EXTINGUE O CONSUMA LA OPORTUNIDAD PROCESAL DE REALIZAR UN ACTO.</w:t>
      </w:r>
    </w:p>
    <w:p w:rsidR="007F2FAA" w:rsidRDefault="007F2FAA" w:rsidP="007F2FAA">
      <w:pPr>
        <w:pStyle w:val="NormalWeb"/>
        <w:spacing w:before="120" w:beforeAutospacing="0" w:after="120" w:afterAutospacing="0" w:line="302" w:lineRule="atLeast"/>
        <w:rPr>
          <w:rFonts w:ascii="Arial" w:hAnsi="Arial" w:cs="Arial"/>
          <w:color w:val="252525"/>
          <w:sz w:val="20"/>
          <w:szCs w:val="20"/>
        </w:rPr>
      </w:pPr>
      <w:r>
        <w:rPr>
          <w:rFonts w:ascii="Arial" w:hAnsi="Arial" w:cs="Arial"/>
          <w:color w:val="252525"/>
          <w:sz w:val="20"/>
          <w:szCs w:val="20"/>
        </w:rPr>
        <w:t>La preclusión es uno de los principios que rigen el proceso y se funda en el hecho de que las diversas etapas del proceso se desarrollan en forma sucesiva, mediante la clausura definitiva de cada una de ellas, impidiéndose el regreso a momentos procesales ya extinguidos y consumados, esto es, en virtud del principio de la preclusión, extinguida o consumada la oportunidad procesal para realizar un acto, éste ya no podrá ejecutarse nuevamente. Además doctrinariamente, la preclusión se define generalmente como la pérdida, extinción o consumación de una facultad procesal, que resulta normalmente, de tres situaciones: a) de no haber observado el orden u oportunidad dada por la ley para la realización de un acto; b) de haber cumplido una actividad incompatible con el ejercicio de otra; y c) de haber ejercitado ya una vez, válidamente, esa facultad (consumación propiamente dicha). Estas tres posibilidades significan que la mencionada institución no es, en verdad, única y distinta, sino más bien una circunstancia atinente a la misma estructura del juicio.</w:t>
      </w:r>
    </w:p>
    <w:p w:rsidR="007F2FAA" w:rsidRDefault="007F2FAA" w:rsidP="007F2FAA">
      <w:pPr>
        <w:pStyle w:val="NormalWeb"/>
        <w:spacing w:before="120" w:beforeAutospacing="0" w:after="120" w:afterAutospacing="0" w:line="302" w:lineRule="atLeast"/>
        <w:rPr>
          <w:rFonts w:ascii="Arial" w:hAnsi="Arial" w:cs="Arial"/>
          <w:color w:val="252525"/>
          <w:sz w:val="20"/>
          <w:szCs w:val="20"/>
        </w:rPr>
      </w:pPr>
      <w:r>
        <w:rPr>
          <w:rFonts w:ascii="Arial" w:hAnsi="Arial" w:cs="Arial"/>
          <w:color w:val="252525"/>
          <w:sz w:val="20"/>
          <w:szCs w:val="20"/>
        </w:rPr>
        <w:t>PRIMERA SALA</w:t>
      </w:r>
    </w:p>
    <w:p w:rsidR="007F2FAA" w:rsidRDefault="007F2FAA" w:rsidP="007F2FAA">
      <w:pPr>
        <w:pStyle w:val="NormalWeb"/>
        <w:spacing w:before="120" w:beforeAutospacing="0" w:after="120" w:afterAutospacing="0" w:line="302" w:lineRule="atLeast"/>
        <w:rPr>
          <w:rFonts w:ascii="Arial" w:hAnsi="Arial" w:cs="Arial"/>
          <w:color w:val="252525"/>
          <w:sz w:val="20"/>
          <w:szCs w:val="20"/>
        </w:rPr>
      </w:pPr>
      <w:r>
        <w:rPr>
          <w:rFonts w:ascii="Arial" w:hAnsi="Arial" w:cs="Arial"/>
          <w:color w:val="252525"/>
          <w:sz w:val="20"/>
          <w:szCs w:val="20"/>
        </w:rPr>
        <w:t xml:space="preserve">Amparo directo 4398/87. Agustín González Godínez y otra. 15 de diciembre de 1987. Cinco votos. Ponente: Mariano Azuela </w:t>
      </w:r>
      <w:proofErr w:type="spellStart"/>
      <w:r>
        <w:rPr>
          <w:rFonts w:ascii="Arial" w:hAnsi="Arial" w:cs="Arial"/>
          <w:color w:val="252525"/>
          <w:sz w:val="20"/>
          <w:szCs w:val="20"/>
        </w:rPr>
        <w:t>Güitrón</w:t>
      </w:r>
      <w:proofErr w:type="spellEnd"/>
      <w:r>
        <w:rPr>
          <w:rFonts w:ascii="Arial" w:hAnsi="Arial" w:cs="Arial"/>
          <w:color w:val="252525"/>
          <w:sz w:val="20"/>
          <w:szCs w:val="20"/>
        </w:rPr>
        <w:t xml:space="preserve">. Secretaria: María Estela Ferrer Mac </w:t>
      </w:r>
      <w:proofErr w:type="spellStart"/>
      <w:r>
        <w:rPr>
          <w:rFonts w:ascii="Arial" w:hAnsi="Arial" w:cs="Arial"/>
          <w:color w:val="252525"/>
          <w:sz w:val="20"/>
          <w:szCs w:val="20"/>
        </w:rPr>
        <w:t>Gregor</w:t>
      </w:r>
      <w:proofErr w:type="spellEnd"/>
      <w:r>
        <w:rPr>
          <w:rFonts w:ascii="Arial" w:hAnsi="Arial" w:cs="Arial"/>
          <w:color w:val="25252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52525"/>
          <w:sz w:val="20"/>
          <w:szCs w:val="20"/>
        </w:rPr>
        <w:t>Poisot</w:t>
      </w:r>
      <w:proofErr w:type="spellEnd"/>
      <w:r>
        <w:rPr>
          <w:rFonts w:ascii="Arial" w:hAnsi="Arial" w:cs="Arial"/>
          <w:color w:val="252525"/>
          <w:sz w:val="20"/>
          <w:szCs w:val="20"/>
        </w:rPr>
        <w:t>.</w:t>
      </w:r>
    </w:p>
    <w:p w:rsidR="007F2FAA" w:rsidRDefault="007F2FAA" w:rsidP="00CE31EE">
      <w:pPr>
        <w:spacing w:after="0"/>
        <w:jc w:val="both"/>
        <w:rPr>
          <w:sz w:val="28"/>
          <w:szCs w:val="28"/>
        </w:rPr>
      </w:pPr>
      <w:bookmarkStart w:id="0" w:name="_GoBack"/>
      <w:bookmarkEnd w:id="0"/>
    </w:p>
    <w:p w:rsidR="007F2FAA" w:rsidRPr="00014EFD" w:rsidRDefault="007F2FAA" w:rsidP="00CE31EE">
      <w:pPr>
        <w:spacing w:after="0"/>
        <w:jc w:val="both"/>
        <w:rPr>
          <w:sz w:val="24"/>
          <w:szCs w:val="24"/>
        </w:rPr>
      </w:pPr>
    </w:p>
    <w:sectPr w:rsidR="007F2FAA" w:rsidRPr="00014E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B00"/>
    <w:rsid w:val="00014EFD"/>
    <w:rsid w:val="000310D0"/>
    <w:rsid w:val="00032D3C"/>
    <w:rsid w:val="004C7CEB"/>
    <w:rsid w:val="00653991"/>
    <w:rsid w:val="007F2FAA"/>
    <w:rsid w:val="00AD7FE7"/>
    <w:rsid w:val="00B504F3"/>
    <w:rsid w:val="00CE31EE"/>
    <w:rsid w:val="00E90F72"/>
    <w:rsid w:val="00F7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014EF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14E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7F2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014EF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14E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7F2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9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745C6-EF96-41DB-9C31-85EE0A867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614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thendher@hotmail.com</dc:creator>
  <cp:lastModifiedBy>thendher@hotmail.com</cp:lastModifiedBy>
  <cp:revision>3</cp:revision>
  <dcterms:created xsi:type="dcterms:W3CDTF">2014-12-01T16:37:00Z</dcterms:created>
  <dcterms:modified xsi:type="dcterms:W3CDTF">2014-12-01T16:52:00Z</dcterms:modified>
</cp:coreProperties>
</file>